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0AE" w:rsidRPr="00A2161A" w:rsidRDefault="00ED50AE" w:rsidP="00ED50AE">
      <w:pPr>
        <w:jc w:val="center"/>
        <w:rPr>
          <w:b/>
          <w:sz w:val="36"/>
          <w:szCs w:val="36"/>
          <w:u w:val="single"/>
        </w:rPr>
      </w:pPr>
      <w:r w:rsidRPr="00A2161A">
        <w:rPr>
          <w:b/>
          <w:sz w:val="36"/>
          <w:szCs w:val="36"/>
          <w:u w:val="single"/>
        </w:rPr>
        <w:t>Zápis z jednání Koordinačního výboru</w:t>
      </w:r>
    </w:p>
    <w:p w:rsidR="00ED50AE" w:rsidRPr="00E64C75" w:rsidRDefault="00ED50AE" w:rsidP="00ED50AE">
      <w:pPr>
        <w:spacing w:line="276" w:lineRule="auto"/>
        <w:jc w:val="center"/>
        <w:rPr>
          <w:rFonts w:ascii="Arial" w:hAnsi="Arial" w:cs="Arial"/>
        </w:rPr>
      </w:pPr>
      <w:r w:rsidRPr="002C6A2C">
        <w:rPr>
          <w:b/>
          <w:sz w:val="36"/>
          <w:szCs w:val="36"/>
          <w:u w:val="single"/>
        </w:rPr>
        <w:t xml:space="preserve">s Komorou daňových poradců ČR ze dne </w:t>
      </w:r>
      <w:r>
        <w:rPr>
          <w:b/>
          <w:sz w:val="36"/>
          <w:szCs w:val="36"/>
          <w:u w:val="single"/>
        </w:rPr>
        <w:t>15.5.2019</w:t>
      </w:r>
    </w:p>
    <w:p w:rsidR="00ED50AE" w:rsidRDefault="00ED50AE" w:rsidP="00ED50AE">
      <w:pPr>
        <w:spacing w:line="276" w:lineRule="auto"/>
        <w:jc w:val="center"/>
        <w:rPr>
          <w:rFonts w:ascii="Arial" w:eastAsia="Times New Roman" w:hAnsi="Arial" w:cs="Arial"/>
          <w:b/>
          <w:sz w:val="32"/>
          <w:szCs w:val="32"/>
          <w:highlight w:val="yellow"/>
          <w:u w:val="single"/>
          <w:lang w:val="en-US"/>
        </w:rPr>
      </w:pPr>
    </w:p>
    <w:p w:rsidR="00ED50AE" w:rsidRPr="00ED50AE" w:rsidRDefault="00ED50AE" w:rsidP="00ED50AE">
      <w:pPr>
        <w:spacing w:line="276" w:lineRule="auto"/>
        <w:jc w:val="center"/>
        <w:rPr>
          <w:rFonts w:ascii="Arial" w:eastAsia="Times New Roman" w:hAnsi="Arial" w:cs="Arial"/>
          <w:b/>
          <w:sz w:val="32"/>
          <w:szCs w:val="32"/>
          <w:highlight w:val="yellow"/>
          <w:u w:val="single"/>
          <w:lang w:val="en-US"/>
        </w:rPr>
      </w:pPr>
      <w:r w:rsidRPr="00ED50AE">
        <w:rPr>
          <w:rFonts w:ascii="Arial" w:eastAsia="Times New Roman" w:hAnsi="Arial" w:cs="Arial"/>
          <w:b/>
          <w:sz w:val="32"/>
          <w:szCs w:val="32"/>
          <w:highlight w:val="yellow"/>
          <w:u w:val="single"/>
          <w:lang w:val="en-US"/>
        </w:rPr>
        <w:t>PŘÍSPĚVEK</w:t>
      </w:r>
      <w:r w:rsidR="006613F5">
        <w:rPr>
          <w:rFonts w:ascii="Arial" w:eastAsia="Times New Roman" w:hAnsi="Arial" w:cs="Arial"/>
          <w:b/>
          <w:sz w:val="32"/>
          <w:szCs w:val="32"/>
          <w:highlight w:val="yellow"/>
          <w:u w:val="single"/>
          <w:lang w:val="en-US"/>
        </w:rPr>
        <w:t xml:space="preserve"> UZAVŘEN BEZ ROZPORU KE DNI 15.5.2019</w:t>
      </w:r>
      <w:r w:rsidRPr="00ED50AE">
        <w:rPr>
          <w:rFonts w:ascii="Arial" w:eastAsia="Times New Roman" w:hAnsi="Arial" w:cs="Arial"/>
          <w:b/>
          <w:sz w:val="32"/>
          <w:szCs w:val="32"/>
          <w:highlight w:val="yellow"/>
          <w:u w:val="single"/>
          <w:lang w:val="en-US"/>
        </w:rPr>
        <w:t xml:space="preserve"> </w:t>
      </w:r>
    </w:p>
    <w:p w:rsidR="00ED50AE" w:rsidRPr="00ED50AE" w:rsidRDefault="006613F5" w:rsidP="00ED50AE">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ED50AE" w:rsidRPr="00ED50AE" w:rsidRDefault="00ED50AE" w:rsidP="00ED50AE">
      <w:pPr>
        <w:rPr>
          <w:rFonts w:ascii="Times New Roman" w:eastAsia="Times New Roman" w:hAnsi="Times New Roman" w:cs="Times New Roman"/>
          <w:lang w:eastAsia="cs-CZ"/>
        </w:rPr>
      </w:pPr>
    </w:p>
    <w:p w:rsidR="00985AAB" w:rsidRPr="00985AAB" w:rsidRDefault="00ED50AE" w:rsidP="00985AAB">
      <w:pPr>
        <w:rPr>
          <w:rFonts w:ascii="Times New Roman" w:eastAsia="Times New Roman" w:hAnsi="Times New Roman" w:cs="Times New Roman"/>
          <w:lang w:eastAsia="cs-CZ"/>
        </w:rPr>
      </w:pPr>
      <w:r w:rsidRPr="00ED50AE">
        <w:rPr>
          <w:rFonts w:ascii="Arial" w:eastAsia="Times New Roman" w:hAnsi="Arial" w:cs="Arial"/>
          <w:b/>
          <w:color w:val="000000"/>
          <w:shd w:val="clear" w:color="auto" w:fill="FFFFFF"/>
          <w:lang w:eastAsia="cs-CZ"/>
        </w:rPr>
        <w:t>54</w:t>
      </w:r>
      <w:r w:rsidR="00985AAB">
        <w:rPr>
          <w:rFonts w:ascii="Arial" w:eastAsia="Times New Roman" w:hAnsi="Arial" w:cs="Arial"/>
          <w:b/>
          <w:color w:val="000000"/>
          <w:shd w:val="clear" w:color="auto" w:fill="FFFFFF"/>
          <w:lang w:eastAsia="cs-CZ"/>
        </w:rPr>
        <w:t>2</w:t>
      </w:r>
      <w:r w:rsidRPr="00ED50AE">
        <w:rPr>
          <w:rFonts w:ascii="Arial" w:eastAsia="Times New Roman" w:hAnsi="Arial" w:cs="Arial"/>
          <w:b/>
          <w:color w:val="000000"/>
          <w:shd w:val="clear" w:color="auto" w:fill="FFFFFF"/>
          <w:lang w:eastAsia="cs-CZ"/>
        </w:rPr>
        <w:t xml:space="preserve">/20.03.19 </w:t>
      </w:r>
      <w:r w:rsidR="00985AAB" w:rsidRPr="00985AAB">
        <w:rPr>
          <w:rFonts w:ascii="Arial" w:eastAsia="Times New Roman" w:hAnsi="Arial" w:cs="Arial"/>
          <w:b/>
          <w:color w:val="000000"/>
          <w:shd w:val="clear" w:color="auto" w:fill="FFFFFF"/>
          <w:lang w:eastAsia="cs-CZ"/>
        </w:rPr>
        <w:t xml:space="preserve">Stravenky jako SPV či </w:t>
      </w:r>
      <w:proofErr w:type="gramStart"/>
      <w:r w:rsidR="00985AAB" w:rsidRPr="00985AAB">
        <w:rPr>
          <w:rFonts w:ascii="Arial" w:eastAsia="Times New Roman" w:hAnsi="Arial" w:cs="Arial"/>
          <w:b/>
          <w:color w:val="000000"/>
          <w:shd w:val="clear" w:color="auto" w:fill="FFFFFF"/>
          <w:lang w:eastAsia="cs-CZ"/>
        </w:rPr>
        <w:t>MPV - související</w:t>
      </w:r>
      <w:proofErr w:type="gramEnd"/>
      <w:r w:rsidR="00985AAB" w:rsidRPr="00985AAB">
        <w:rPr>
          <w:rFonts w:ascii="Arial" w:eastAsia="Times New Roman" w:hAnsi="Arial" w:cs="Arial"/>
          <w:b/>
          <w:color w:val="000000"/>
          <w:shd w:val="clear" w:color="auto" w:fill="FFFFFF"/>
          <w:lang w:eastAsia="cs-CZ"/>
        </w:rPr>
        <w:t xml:space="preserve"> problematika</w:t>
      </w:r>
      <w:r w:rsidR="00985AAB" w:rsidRPr="00985AAB">
        <w:rPr>
          <w:rFonts w:ascii="Times New Roman" w:eastAsia="Times New Roman" w:hAnsi="Times New Roman" w:cs="Times New Roman"/>
          <w:lang w:eastAsia="cs-CZ"/>
        </w:rPr>
        <w:t xml:space="preserve"> </w:t>
      </w:r>
    </w:p>
    <w:p w:rsidR="006613F5" w:rsidRPr="006613F5" w:rsidRDefault="006613F5" w:rsidP="006613F5">
      <w:pPr>
        <w:rPr>
          <w:rFonts w:ascii="Times New Roman" w:eastAsia="Times New Roman" w:hAnsi="Times New Roman" w:cs="Times New Roman"/>
          <w:lang w:eastAsia="cs-CZ"/>
        </w:rPr>
      </w:pPr>
    </w:p>
    <w:p w:rsidR="00ED50AE" w:rsidRPr="00ED50AE" w:rsidRDefault="00ED50AE" w:rsidP="00ED50AE">
      <w:pPr>
        <w:pStyle w:val="Zkladntext"/>
        <w:spacing w:after="0" w:line="276" w:lineRule="auto"/>
        <w:jc w:val="both"/>
        <w:rPr>
          <w:rFonts w:ascii="Arial" w:hAnsi="Arial" w:cs="Arial"/>
          <w:b/>
          <w:color w:val="000000"/>
          <w:shd w:val="clear" w:color="auto" w:fill="FFFFFF"/>
        </w:rPr>
      </w:pPr>
    </w:p>
    <w:p w:rsidR="00985AAB" w:rsidRPr="00985AAB" w:rsidRDefault="00ED50AE" w:rsidP="00985AAB">
      <w:pPr>
        <w:rPr>
          <w:rFonts w:ascii="Times New Roman" w:eastAsia="Times New Roman" w:hAnsi="Times New Roman" w:cs="Times New Roman"/>
          <w:lang w:eastAsia="cs-CZ"/>
        </w:rPr>
      </w:pPr>
      <w:proofErr w:type="spellStart"/>
      <w:r w:rsidRPr="00ED50AE">
        <w:rPr>
          <w:rFonts w:ascii="Arial" w:eastAsia="Times New Roman" w:hAnsi="Arial" w:cs="Arial"/>
          <w:shd w:val="clear" w:color="auto" w:fill="FFFFFF"/>
          <w:lang w:eastAsia="cs-CZ"/>
        </w:rPr>
        <w:t>Předkláda</w:t>
      </w:r>
      <w:proofErr w:type="spellEnd"/>
      <w:r w:rsidRPr="00ED50AE">
        <w:rPr>
          <w:rFonts w:ascii="Arial" w:eastAsia="Times New Roman" w:hAnsi="Arial" w:cs="Arial"/>
          <w:shd w:val="clear" w:color="auto" w:fill="FFFFFF"/>
          <w:lang w:eastAsia="cs-CZ"/>
        </w:rPr>
        <w:t xml:space="preserve">́: </w:t>
      </w:r>
      <w:r w:rsidR="00985AAB" w:rsidRPr="00985AAB">
        <w:rPr>
          <w:rFonts w:ascii="Arial" w:eastAsia="Times New Roman" w:hAnsi="Arial" w:cs="Arial"/>
          <w:shd w:val="clear" w:color="auto" w:fill="FFFFFF"/>
          <w:lang w:eastAsia="cs-CZ"/>
        </w:rPr>
        <w:t xml:space="preserve">Ing. Petr Drahoš, daňový poradce, číslo. </w:t>
      </w:r>
      <w:proofErr w:type="spellStart"/>
      <w:r w:rsidR="00985AAB" w:rsidRPr="00985AAB">
        <w:rPr>
          <w:rFonts w:ascii="Arial" w:eastAsia="Times New Roman" w:hAnsi="Arial" w:cs="Arial"/>
          <w:shd w:val="clear" w:color="auto" w:fill="FFFFFF"/>
          <w:lang w:eastAsia="cs-CZ"/>
        </w:rPr>
        <w:t>osv</w:t>
      </w:r>
      <w:proofErr w:type="spellEnd"/>
      <w:r w:rsidR="00985AAB" w:rsidRPr="00985AAB">
        <w:rPr>
          <w:rFonts w:ascii="Arial" w:eastAsia="Times New Roman" w:hAnsi="Arial" w:cs="Arial"/>
          <w:shd w:val="clear" w:color="auto" w:fill="FFFFFF"/>
          <w:lang w:eastAsia="cs-CZ"/>
        </w:rPr>
        <w:t>. 4179</w:t>
      </w:r>
    </w:p>
    <w:p w:rsidR="00ED50AE" w:rsidRDefault="00ED50AE" w:rsidP="006613F5">
      <w:pPr>
        <w:rPr>
          <w:rFonts w:ascii="Times New Roman" w:eastAsia="Times New Roman" w:hAnsi="Times New Roman" w:cs="Times New Roman"/>
          <w:lang w:eastAsia="cs-CZ"/>
        </w:rPr>
      </w:pPr>
    </w:p>
    <w:p w:rsidR="006613F5" w:rsidRPr="00ED50AE" w:rsidRDefault="006613F5" w:rsidP="00E15CD9">
      <w:pPr>
        <w:jc w:val="both"/>
        <w:rPr>
          <w:rFonts w:ascii="Arial" w:eastAsia="Times New Roman" w:hAnsi="Arial" w:cs="Arial"/>
          <w:lang w:eastAsia="cs-CZ"/>
        </w:rPr>
      </w:pPr>
    </w:p>
    <w:p w:rsidR="006613F5" w:rsidRPr="00FA5C04" w:rsidRDefault="006613F5" w:rsidP="00FA5C04">
      <w:pPr>
        <w:pStyle w:val="Odstavecseseznamem"/>
        <w:numPr>
          <w:ilvl w:val="0"/>
          <w:numId w:val="1"/>
        </w:numPr>
        <w:ind w:left="426"/>
        <w:jc w:val="both"/>
        <w:rPr>
          <w:rFonts w:ascii="Arial" w:eastAsia="Times New Roman" w:hAnsi="Arial" w:cs="Arial"/>
          <w:lang w:eastAsia="cs-CZ"/>
        </w:rPr>
      </w:pPr>
      <w:r w:rsidRPr="00FA5C04">
        <w:rPr>
          <w:rFonts w:ascii="Arial" w:eastAsia="Times New Roman" w:hAnsi="Arial" w:cs="Arial"/>
          <w:lang w:eastAsia="cs-CZ"/>
        </w:rPr>
        <w:t xml:space="preserve">Cíl příspěvku </w:t>
      </w:r>
    </w:p>
    <w:p w:rsidR="006613F5" w:rsidRPr="00FA5C04" w:rsidRDefault="006613F5" w:rsidP="00FA5C04">
      <w:pPr>
        <w:jc w:val="both"/>
        <w:rPr>
          <w:rFonts w:ascii="Arial" w:eastAsia="Times New Roman" w:hAnsi="Arial" w:cs="Arial"/>
          <w:lang w:eastAsia="cs-CZ"/>
        </w:rPr>
      </w:pPr>
    </w:p>
    <w:p w:rsidR="00EC5AA9" w:rsidRPr="00FA5C04" w:rsidRDefault="00985AAB" w:rsidP="00FA5C04">
      <w:pPr>
        <w:jc w:val="both"/>
        <w:rPr>
          <w:rFonts w:ascii="Arial" w:eastAsia="Times New Roman" w:hAnsi="Arial" w:cs="Arial"/>
          <w:lang w:eastAsia="cs-CZ"/>
        </w:rPr>
      </w:pPr>
      <w:r w:rsidRPr="00985AAB">
        <w:rPr>
          <w:rFonts w:ascii="Arial" w:eastAsia="Times New Roman" w:hAnsi="Arial" w:cs="Arial"/>
          <w:lang w:eastAsia="cs-CZ"/>
        </w:rPr>
        <w:t>Tento příspěvek navazuje na příspěvek Ing. Tomáše Brandejse „Výklad §15 zákona o DPH ve vztahu ke stravenkám“, v němž se pokusil vymezit základní charakteristiku poukazů dle příslušné DPH legislativy.</w:t>
      </w:r>
    </w:p>
    <w:p w:rsidR="00EC5AA9" w:rsidRPr="00FA5C04" w:rsidRDefault="00EC5AA9" w:rsidP="00FA5C04">
      <w:pPr>
        <w:jc w:val="both"/>
        <w:rPr>
          <w:rFonts w:ascii="Arial" w:eastAsia="Times New Roman" w:hAnsi="Arial" w:cs="Arial"/>
          <w:lang w:eastAsia="cs-CZ"/>
        </w:rPr>
      </w:pPr>
    </w:p>
    <w:p w:rsidR="00EC5AA9" w:rsidRPr="00FA5C04" w:rsidRDefault="00985AAB" w:rsidP="00FA5C04">
      <w:pPr>
        <w:jc w:val="both"/>
        <w:rPr>
          <w:rFonts w:ascii="Arial" w:eastAsia="Times New Roman" w:hAnsi="Arial" w:cs="Arial"/>
          <w:lang w:eastAsia="cs-CZ"/>
        </w:rPr>
      </w:pPr>
      <w:r w:rsidRPr="00985AAB">
        <w:rPr>
          <w:rFonts w:ascii="Arial" w:eastAsia="Times New Roman" w:hAnsi="Arial" w:cs="Arial"/>
          <w:lang w:eastAsia="cs-CZ"/>
        </w:rPr>
        <w:t>Cílem aktuálního příspěvku je vyjasnit DPH režim při distribuci a uplatňování poukázek na stravování17 (viz níže jejich bližší vymezení) za předpokladu, že naplňují definici poukazů dle EU DPH Směrnice, respektive dle §15 Zákona o DPH ve znění, v jakém by měl být po přijetí příslušné novely.</w:t>
      </w:r>
    </w:p>
    <w:p w:rsidR="00EC5AA9" w:rsidRPr="00FA5C04" w:rsidRDefault="00EC5AA9" w:rsidP="00FA5C04">
      <w:pPr>
        <w:jc w:val="both"/>
        <w:rPr>
          <w:rFonts w:ascii="Arial" w:eastAsia="Times New Roman" w:hAnsi="Arial" w:cs="Arial"/>
          <w:lang w:eastAsia="cs-CZ"/>
        </w:rPr>
      </w:pPr>
    </w:p>
    <w:p w:rsidR="00EC5AA9" w:rsidRPr="00FA5C04" w:rsidRDefault="00985AAB" w:rsidP="00FA5C04">
      <w:pPr>
        <w:jc w:val="both"/>
        <w:rPr>
          <w:rFonts w:ascii="Arial" w:eastAsia="Times New Roman" w:hAnsi="Arial" w:cs="Arial"/>
          <w:lang w:eastAsia="cs-CZ"/>
        </w:rPr>
      </w:pPr>
      <w:r w:rsidRPr="00985AAB">
        <w:rPr>
          <w:rFonts w:ascii="Arial" w:eastAsia="Times New Roman" w:hAnsi="Arial" w:cs="Arial"/>
          <w:lang w:eastAsia="cs-CZ"/>
        </w:rPr>
        <w:t xml:space="preserve"> Příspěvek má pokrýt následující situaci: </w:t>
      </w:r>
    </w:p>
    <w:p w:rsidR="00EC5AA9" w:rsidRPr="00FA5C04" w:rsidRDefault="00985AAB" w:rsidP="00FA5C04">
      <w:pPr>
        <w:jc w:val="both"/>
        <w:rPr>
          <w:rFonts w:ascii="Arial" w:eastAsia="Times New Roman" w:hAnsi="Arial" w:cs="Arial"/>
          <w:lang w:eastAsia="cs-CZ"/>
        </w:rPr>
      </w:pPr>
      <w:r w:rsidRPr="00985AAB">
        <w:rPr>
          <w:rFonts w:ascii="Arial" w:eastAsia="Times New Roman" w:hAnsi="Arial" w:cs="Arial"/>
          <w:lang w:eastAsia="cs-CZ"/>
        </w:rPr>
        <w:sym w:font="Symbol" w:char="F0B7"/>
      </w:r>
      <w:r w:rsidRPr="00985AAB">
        <w:rPr>
          <w:rFonts w:ascii="Arial" w:eastAsia="Times New Roman" w:hAnsi="Arial" w:cs="Arial"/>
          <w:lang w:eastAsia="cs-CZ"/>
        </w:rPr>
        <w:t xml:space="preserve"> Společnost vlastním jménem vydává poukázky a převádí je za úplatu zájemci, který je dále převádí za úplatu svému zaměstnanci (dále jen „Společnost“, „Zaměstnavatel“ a „Zaměstnanec“); </w:t>
      </w:r>
    </w:p>
    <w:p w:rsidR="00EC5AA9" w:rsidRPr="00FA5C04" w:rsidRDefault="00985AAB" w:rsidP="00FA5C04">
      <w:pPr>
        <w:jc w:val="both"/>
        <w:rPr>
          <w:rFonts w:ascii="Arial" w:eastAsia="Times New Roman" w:hAnsi="Arial" w:cs="Arial"/>
          <w:lang w:eastAsia="cs-CZ"/>
        </w:rPr>
      </w:pPr>
      <w:r w:rsidRPr="00985AAB">
        <w:rPr>
          <w:rFonts w:ascii="Arial" w:eastAsia="Times New Roman" w:hAnsi="Arial" w:cs="Arial"/>
          <w:lang w:eastAsia="cs-CZ"/>
        </w:rPr>
        <w:sym w:font="Symbol" w:char="F0B7"/>
      </w:r>
      <w:r w:rsidRPr="00985AAB">
        <w:rPr>
          <w:rFonts w:ascii="Arial" w:eastAsia="Times New Roman" w:hAnsi="Arial" w:cs="Arial"/>
          <w:lang w:eastAsia="cs-CZ"/>
        </w:rPr>
        <w:t xml:space="preserve"> Poukázky mají určitou nominální hodnotu a mohou jimi být hrazeny plnění poskytovaná Zaměstnancům různými prodejci (dále „Stravenky“ a „Partneři“). Související dokumentace specifikuje plnění, které je možné Stravenkou u Partnerů zaplatit, jako stravovací služby a zboží (potraviny a nápoje), v každém případě vyjma alkoholických nápojů a tabákových výrobků; </w:t>
      </w:r>
    </w:p>
    <w:p w:rsidR="00EC5AA9" w:rsidRPr="00FA5C04" w:rsidRDefault="00985AAB" w:rsidP="00FA5C04">
      <w:pPr>
        <w:jc w:val="both"/>
        <w:rPr>
          <w:rFonts w:ascii="Arial" w:eastAsia="Times New Roman" w:hAnsi="Arial" w:cs="Arial"/>
          <w:lang w:eastAsia="cs-CZ"/>
        </w:rPr>
      </w:pPr>
      <w:r w:rsidRPr="00985AAB">
        <w:rPr>
          <w:rFonts w:ascii="Arial" w:eastAsia="Times New Roman" w:hAnsi="Arial" w:cs="Arial"/>
          <w:lang w:eastAsia="cs-CZ"/>
        </w:rPr>
        <w:sym w:font="Symbol" w:char="F0B7"/>
      </w:r>
      <w:r w:rsidRPr="00985AAB">
        <w:rPr>
          <w:rFonts w:ascii="Arial" w:eastAsia="Times New Roman" w:hAnsi="Arial" w:cs="Arial"/>
          <w:lang w:eastAsia="cs-CZ"/>
        </w:rPr>
        <w:t xml:space="preserve"> Pro účely tohoto příspěvku nepředpokládám, že by Zaměstnanec hradil Partnerovi doplatek; </w:t>
      </w:r>
    </w:p>
    <w:p w:rsidR="00EC5AA9" w:rsidRPr="00FA5C04" w:rsidRDefault="00985AAB" w:rsidP="00FA5C04">
      <w:pPr>
        <w:jc w:val="both"/>
        <w:rPr>
          <w:rFonts w:ascii="Arial" w:eastAsia="Times New Roman" w:hAnsi="Arial" w:cs="Arial"/>
          <w:lang w:eastAsia="cs-CZ"/>
        </w:rPr>
      </w:pPr>
      <w:r w:rsidRPr="00985AAB">
        <w:rPr>
          <w:rFonts w:ascii="Arial" w:eastAsia="Times New Roman" w:hAnsi="Arial" w:cs="Arial"/>
          <w:lang w:eastAsia="cs-CZ"/>
        </w:rPr>
        <w:sym w:font="Symbol" w:char="F0B7"/>
      </w:r>
      <w:r w:rsidRPr="00985AAB">
        <w:rPr>
          <w:rFonts w:ascii="Arial" w:eastAsia="Times New Roman" w:hAnsi="Arial" w:cs="Arial"/>
          <w:lang w:eastAsia="cs-CZ"/>
        </w:rPr>
        <w:t xml:space="preserve"> Společnost má s každým Partnerem uzavřenou smlouvu o zpětném odběru Stravenek (dále též „výměna“ či „zpětný odkup“) na základě níž Partner může následně po poskytnutí plnění Zaměstnanci předložit Společnosti Stravenku a ta ji má povinnost přijmout a uhradit Partnerovi její nominální hodnotu. Společnost na základě této smlouvy Partnerovi současně účtuje samostatně vyčíslenou provizi za službu zajištění fungování výše popsaného systému, díky němuž Partneři rozšiřují okruh potenciálních zákazníků. Vzájemné závazky a pohledávky Partnera a Společnosti se započítávají. </w:t>
      </w:r>
    </w:p>
    <w:p w:rsidR="00985AAB" w:rsidRPr="00985AAB" w:rsidRDefault="00985AAB" w:rsidP="00FA5C04">
      <w:pPr>
        <w:jc w:val="both"/>
        <w:rPr>
          <w:rFonts w:ascii="Arial" w:eastAsia="Times New Roman" w:hAnsi="Arial" w:cs="Arial"/>
          <w:lang w:eastAsia="cs-CZ"/>
        </w:rPr>
      </w:pPr>
      <w:r w:rsidRPr="00985AAB">
        <w:rPr>
          <w:rFonts w:ascii="Arial" w:eastAsia="Times New Roman" w:hAnsi="Arial" w:cs="Arial"/>
          <w:lang w:eastAsia="cs-CZ"/>
        </w:rPr>
        <w:t>Znovu připomínám, že pro účely tohoto příspěvku vycházím z předpokladu, že Stravenky jsou poukazem dle výše zmíněné legislativy.</w:t>
      </w:r>
    </w:p>
    <w:p w:rsidR="00EC5AA9" w:rsidRPr="00EC5AA9"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Přestože Stravenky v obecně rovině dle obchodních podmínek naplňují definici víceúčelových poukazů (dále jen „MPV stravenky“), nelze vyloučit ani smluvní nastavení, kdy Stravenka bude představovat jednoúčelový poukaz (dále „SPV </w:t>
      </w:r>
      <w:r w:rsidRPr="00EC5AA9">
        <w:rPr>
          <w:rFonts w:ascii="Arial" w:eastAsia="Times New Roman" w:hAnsi="Arial" w:cs="Arial"/>
          <w:lang w:eastAsia="cs-CZ"/>
        </w:rPr>
        <w:lastRenderedPageBreak/>
        <w:t>stravenky“). Každá subkapitola začíná nejprve izolovaným pohledem zákona o DPH. Následně vždy krátce shrnuji perspektivu EU DPH Směrnice, a upozorňuji na případné odlišnosti a na to, co z nich vyplývá.</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2 DPH </w:t>
      </w:r>
      <w:proofErr w:type="gramStart"/>
      <w:r w:rsidRPr="00EC5AA9">
        <w:rPr>
          <w:rFonts w:ascii="Arial" w:eastAsia="Times New Roman" w:hAnsi="Arial" w:cs="Arial"/>
          <w:lang w:eastAsia="cs-CZ"/>
        </w:rPr>
        <w:t>režim - SPV</w:t>
      </w:r>
      <w:proofErr w:type="gramEnd"/>
      <w:r w:rsidRPr="00EC5AA9">
        <w:rPr>
          <w:rFonts w:ascii="Arial" w:eastAsia="Times New Roman" w:hAnsi="Arial" w:cs="Arial"/>
          <w:lang w:eastAsia="cs-CZ"/>
        </w:rPr>
        <w:t xml:space="preserve"> stravenky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Pro účely zpřehlednění textu v této kapitole budu popisovat SPV stravenku na odběr služby stravovací podléhající 15% sazbě daně.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DPH legislativa stanoví, že převod jednoúčelového poukazu se pro účely daně z přidané hodnoty považuje za poskytnutí služby, na něž se poukaz vztahuje. DUZP nastává okamžikem převodu poukazu.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Společnost tak při vydání SPV stravenky poskytne Zaměstnavateli stravovací službu. Zaměstnavatel prodá SPV stravenku dál Zaměstnanci a poskytne mu tím rovněž stravovací službu. Zaměstnanec pak čerpá u Partnera danou službu, i toto čerpání je dle zákona o DPH považováno za poskytnutí služby stravovací, nicméně mezi Partnerem a Společností (tj. Partner poskytne stravovací službu Společnosti). V konečném důsledku tak Společnost stravovací službu nakoupila a prodala, byť časově prodej předchází nákupu.</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2.1 Jak je stanoven základ daně při vydávání a distribuci SPV stravenky? Jaký DPH režim přisoudit provizi účtované Společností Zaměstnavateli?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Základem daně je vše, co obdržel nebo má v přímé souvislosti s prodejem poukazu obdržet převodce od nabyvatele nebo od třetí osoby, přitom do základu daně je nutno zahrnout i náklady na balení, přepravu, pojištění a provize.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Společnost by tak měla odvést DPH ve výši </w:t>
      </w:r>
      <w:proofErr w:type="gramStart"/>
      <w:r w:rsidRPr="00EC5AA9">
        <w:rPr>
          <w:rFonts w:ascii="Arial" w:eastAsia="Times New Roman" w:hAnsi="Arial" w:cs="Arial"/>
          <w:lang w:eastAsia="cs-CZ"/>
        </w:rPr>
        <w:t>15%</w:t>
      </w:r>
      <w:proofErr w:type="gramEnd"/>
      <w:r w:rsidRPr="00EC5AA9">
        <w:rPr>
          <w:rFonts w:ascii="Arial" w:eastAsia="Times New Roman" w:hAnsi="Arial" w:cs="Arial"/>
          <w:lang w:eastAsia="cs-CZ"/>
        </w:rPr>
        <w:t xml:space="preserve"> ze všeho, co má v přímé souvislosti s prodejem SPV stravenky obdržet, tedy i z provize, kterou účtuje Zaměstnavateli.</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Perspektiva EU DPH Směrnice: Výše popsané principy platí i na základě EU DPH Směrnice.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2.2 Jaký DPH režim přisoudit provizi účtované Společností Partnerům výměnou za SPV stravenky?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Na základě vymezení v kapitole 1 příspěvku jde o provizi za službu spočívající ve zprostředkování zákazníků Partnerům. Jedná se o zdanitelné plnění podléhající sazbě DPH </w:t>
      </w:r>
      <w:proofErr w:type="gramStart"/>
      <w:r w:rsidRPr="00EC5AA9">
        <w:rPr>
          <w:rFonts w:ascii="Arial" w:eastAsia="Times New Roman" w:hAnsi="Arial" w:cs="Arial"/>
          <w:lang w:eastAsia="cs-CZ"/>
        </w:rPr>
        <w:t>21%</w:t>
      </w:r>
      <w:proofErr w:type="gramEnd"/>
      <w:r w:rsidRPr="00EC5AA9">
        <w:rPr>
          <w:rFonts w:ascii="Arial" w:eastAsia="Times New Roman" w:hAnsi="Arial" w:cs="Arial"/>
          <w:lang w:eastAsia="cs-CZ"/>
        </w:rPr>
        <w:t xml:space="preserve">. </w:t>
      </w:r>
    </w:p>
    <w:p w:rsidR="00EC5AA9" w:rsidRPr="00EC5AA9"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Na uvedeném nemůže nic změnit ani to, že DPH legislativa zavádí právní fikci v tom smyslu, že Partner poskytl stravovací službu Společnosti; provize by neměla být vnímána jako sleva vážící se k ceně této stravovací služby.</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Perspektiva EU DPH Směrnice: Výše popsané platí i na základě EU DPH Směrnice.</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 2.3 V jaké výši vznikají nároky na odpočet daně u vstupů Společnosti? Koncept oběhu SPV stravenek včetně účtování provizí podle mého názoru vede k tomu, že Společnost by měla mít nárok na odpočet daně v plné míře25 ze všech přímých i nepřímých nákladů týkajících se vydávání, distribuce či zpětného odběru SPV stravenek.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Perspektiva EU DPH Směrnice: Výše popsané platí i na základě EU DPH Směrnice. </w:t>
      </w:r>
    </w:p>
    <w:p w:rsidR="00EC5AA9" w:rsidRPr="00FA5C04" w:rsidRDefault="00EC5AA9" w:rsidP="00FA5C04">
      <w:pPr>
        <w:jc w:val="both"/>
        <w:rPr>
          <w:rFonts w:ascii="Arial" w:eastAsia="Times New Roman" w:hAnsi="Arial" w:cs="Arial"/>
          <w:lang w:eastAsia="cs-CZ"/>
        </w:rPr>
      </w:pPr>
    </w:p>
    <w:p w:rsidR="00C27EE3" w:rsidRDefault="00C27EE3">
      <w:pPr>
        <w:rPr>
          <w:rFonts w:ascii="Arial" w:eastAsia="Times New Roman" w:hAnsi="Arial" w:cs="Arial"/>
          <w:lang w:eastAsia="cs-CZ"/>
        </w:rPr>
      </w:pPr>
      <w:r>
        <w:rPr>
          <w:rFonts w:ascii="Arial" w:eastAsia="Times New Roman" w:hAnsi="Arial" w:cs="Arial"/>
          <w:lang w:eastAsia="cs-CZ"/>
        </w:rPr>
        <w:br w:type="page"/>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lastRenderedPageBreak/>
        <w:t xml:space="preserve">3 DPH </w:t>
      </w:r>
      <w:proofErr w:type="gramStart"/>
      <w:r w:rsidRPr="00EC5AA9">
        <w:rPr>
          <w:rFonts w:ascii="Arial" w:eastAsia="Times New Roman" w:hAnsi="Arial" w:cs="Arial"/>
          <w:lang w:eastAsia="cs-CZ"/>
        </w:rPr>
        <w:t>režim - MPV</w:t>
      </w:r>
      <w:proofErr w:type="gramEnd"/>
      <w:r w:rsidRPr="00EC5AA9">
        <w:rPr>
          <w:rFonts w:ascii="Arial" w:eastAsia="Times New Roman" w:hAnsi="Arial" w:cs="Arial"/>
          <w:lang w:eastAsia="cs-CZ"/>
        </w:rPr>
        <w:t xml:space="preserve"> stravenky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Na rozdíl od pravidel, která platí pro SPV stravenky, se za uskutečněná plnění nepovažují převody MPV stravenek, nýbrž až jejich čerpání. Společnost tak neposkytuje vydáním MPV stravenky žádné zdanitelné plnění. Partner neposkytuje Společnosti také žádné zdanitelné plnění. Zdanitelné plnění ve formě poskytnutí služby či dodání zboží je poskytnuto Partnerem Zaměstnanci.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3.1 Jak je stanoven základ daně při vydávání a distribuci MPV stravenky? </w:t>
      </w:r>
      <w:r w:rsidR="00C27EE3">
        <w:rPr>
          <w:rFonts w:ascii="Arial" w:eastAsia="Times New Roman" w:hAnsi="Arial" w:cs="Arial"/>
          <w:b/>
          <w:bCs/>
          <w:lang w:eastAsia="cs-CZ"/>
        </w:rPr>
        <w:t xml:space="preserve"> pře</w:t>
      </w:r>
      <w:r w:rsidRPr="00EC5AA9">
        <w:rPr>
          <w:rFonts w:ascii="Arial" w:eastAsia="Times New Roman" w:hAnsi="Arial" w:cs="Arial"/>
          <w:lang w:eastAsia="cs-CZ"/>
        </w:rPr>
        <w:t xml:space="preserve"> Nemá tedy smysl hovořit o tom, jak stanovit základ daně. O základu daně lze v souvislosti s oběhem MPV stravenek samozřejmě hovořit u zdanitelného plnění poskytovaného Partnerem Zaměstnanci. Zákon o DPH pro tyto účely obsahuje zcela specifický způsob stanovení tohoto základu daně: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pStyle w:val="Odstavecseseznamem"/>
        <w:numPr>
          <w:ilvl w:val="0"/>
          <w:numId w:val="2"/>
        </w:numPr>
        <w:jc w:val="both"/>
        <w:rPr>
          <w:rFonts w:ascii="Arial" w:eastAsia="Times New Roman" w:hAnsi="Arial" w:cs="Arial"/>
          <w:lang w:eastAsia="cs-CZ"/>
        </w:rPr>
      </w:pPr>
      <w:r w:rsidRPr="00FA5C04">
        <w:rPr>
          <w:rFonts w:ascii="Arial" w:eastAsia="Times New Roman" w:hAnsi="Arial" w:cs="Arial"/>
          <w:lang w:eastAsia="cs-CZ"/>
        </w:rPr>
        <w:t xml:space="preserve">Určuje, že základem daně je částka, kterou za MPV stravenku uhradil ten, pro kterého bylo uskutečněno zdanitelné plnění (tj. částka, kterou za stravenku uhradil Zaměstnanec), případně i částka, kterou za něj uhradila jakákoli třetí osoba.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pStyle w:val="Odstavecseseznamem"/>
        <w:numPr>
          <w:ilvl w:val="0"/>
          <w:numId w:val="2"/>
        </w:numPr>
        <w:jc w:val="both"/>
        <w:rPr>
          <w:rFonts w:ascii="Arial" w:eastAsia="Times New Roman" w:hAnsi="Arial" w:cs="Arial"/>
          <w:lang w:eastAsia="cs-CZ"/>
        </w:rPr>
      </w:pPr>
      <w:r w:rsidRPr="00FA5C04">
        <w:rPr>
          <w:rFonts w:ascii="Arial" w:eastAsia="Times New Roman" w:hAnsi="Arial" w:cs="Arial"/>
          <w:lang w:eastAsia="cs-CZ"/>
        </w:rPr>
        <w:t xml:space="preserve">Dále určuje, že pokud by částka dle předchozího bodu nebyla známa, pak je základem daně nominální hodnota Stravenky. </w:t>
      </w:r>
    </w:p>
    <w:p w:rsidR="00EC5AA9" w:rsidRPr="00FA5C04" w:rsidRDefault="00EC5AA9" w:rsidP="00FA5C04">
      <w:pPr>
        <w:jc w:val="both"/>
        <w:rPr>
          <w:rFonts w:ascii="Arial" w:eastAsia="Times New Roman" w:hAnsi="Arial" w:cs="Arial"/>
          <w:lang w:eastAsia="cs-CZ"/>
        </w:rPr>
      </w:pPr>
    </w:p>
    <w:p w:rsidR="00EC5AA9" w:rsidRPr="00EC5AA9" w:rsidRDefault="00EC5AA9" w:rsidP="00FA5C04">
      <w:pPr>
        <w:jc w:val="both"/>
        <w:rPr>
          <w:rFonts w:ascii="Arial" w:eastAsia="Times New Roman" w:hAnsi="Arial" w:cs="Arial"/>
          <w:lang w:eastAsia="cs-CZ"/>
        </w:rPr>
      </w:pPr>
      <w:r w:rsidRPr="00EC5AA9">
        <w:rPr>
          <w:rFonts w:ascii="Arial" w:eastAsia="Times New Roman" w:hAnsi="Arial" w:cs="Arial"/>
          <w:lang w:eastAsia="cs-CZ"/>
        </w:rPr>
        <w:t>Znamená to, že v případě použití MPV stravenky (kterou následně Společnost Partnerovi proplácí), není pro účely stanovení základu daně u plnění poskytnutého Partnerem Zaměstnanci vůbec relevantní částka, kterou skutečně obdržel Partner od Společnosti.</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Perspektiva EU DPH Směrnice: EU DPH Směrnice znění zákona příliš nesvědčí. Podle její preambule26 by měl být základ daně určen zcela jiným způsobem, zcela kategoricky uvádí, že v případě víceúčelových poukazů by dodavatel zboží (poskytovatel služby) měl DPH uplatnit na základě protiplnění obdrženého za tento víceúčelový poukaz.</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To by znamenalo, že Partner by měl zdanit hodnotu, kterou má za MPV stravenku od Společnosti obdržet.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I pokud by znění preambule nebylo možné chápat tak kategoricky, vlastní text EU DPH Směrnice interpretovatelný rozumným způsobem stejně není. Jeho podoba totiž v průběhu přípravných prací doznala zásadních změn a obsahuje ve finální verzi vnitřní logickou vadu. Rozsah této vady vysvětluji v bodech: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sym w:font="Symbol" w:char="F0B7"/>
      </w:r>
      <w:r w:rsidRPr="00EC5AA9">
        <w:rPr>
          <w:rFonts w:ascii="Arial" w:eastAsia="Times New Roman" w:hAnsi="Arial" w:cs="Arial"/>
          <w:lang w:eastAsia="cs-CZ"/>
        </w:rPr>
        <w:t xml:space="preserve"> Původním záměrem bylo, aby základem byla nominální hodnota poukazu. Vydavatel poukazu, který jej pak od zákazníka přijme „výměnou“ za plnění, měl být povinen zdanit tuto nominální hodnotu.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sym w:font="Symbol" w:char="F0B7"/>
      </w:r>
      <w:r w:rsidRPr="00EC5AA9">
        <w:rPr>
          <w:rFonts w:ascii="Arial" w:eastAsia="Times New Roman" w:hAnsi="Arial" w:cs="Arial"/>
          <w:lang w:eastAsia="cs-CZ"/>
        </w:rPr>
        <w:t xml:space="preserve"> Tuto nominální hodnotu však zpravidla vydavatel nikdy neobdrží (běžně vydává poukaz za částku nižší). Například vydá poukaz v nominální hodnotě 100 Kč za 80 Kč.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sym w:font="Symbol" w:char="F0B7"/>
      </w:r>
      <w:r w:rsidRPr="00EC5AA9">
        <w:rPr>
          <w:rFonts w:ascii="Arial" w:eastAsia="Times New Roman" w:hAnsi="Arial" w:cs="Arial"/>
          <w:lang w:eastAsia="cs-CZ"/>
        </w:rPr>
        <w:t xml:space="preserve"> Proto byl současně v návrhu EU DPH Směrnice navržen systém, že první nabyvatel daného poukazu, který jej nabyl za 80 Kč, byl právní fikcí považován za poskytovatele služby vydavateli v hodnotě příslušného rozdílu mezi cenou a nominální hodnotou. Tento nabyvatel pak povinně měl vystavit daňový doklad vydavateli na 20 Kč.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sym w:font="Symbol" w:char="F0B7"/>
      </w:r>
      <w:r w:rsidRPr="00EC5AA9">
        <w:rPr>
          <w:rFonts w:ascii="Arial" w:eastAsia="Times New Roman" w:hAnsi="Arial" w:cs="Arial"/>
          <w:lang w:eastAsia="cs-CZ"/>
        </w:rPr>
        <w:t xml:space="preserve"> Další převody poukazu by byly podrobeny podobnému systému, kdy další distributor byl označen za poskytovatele služby předchozímu distributorovi. V řetězci distributorů </w:t>
      </w:r>
      <w:r w:rsidRPr="00EC5AA9">
        <w:rPr>
          <w:rFonts w:ascii="Arial" w:eastAsia="Times New Roman" w:hAnsi="Arial" w:cs="Arial"/>
          <w:lang w:eastAsia="cs-CZ"/>
        </w:rPr>
        <w:lastRenderedPageBreak/>
        <w:t xml:space="preserve">by takto byl prodáván poukaz v zásadě neutrálně, protože odvedená DPH ze služby by byla předchozím článkem řetězce opět nárokována.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sym w:font="Symbol" w:char="F0B7"/>
      </w:r>
      <w:r w:rsidRPr="00EC5AA9">
        <w:rPr>
          <w:rFonts w:ascii="Arial" w:eastAsia="Times New Roman" w:hAnsi="Arial" w:cs="Arial"/>
          <w:lang w:eastAsia="cs-CZ"/>
        </w:rPr>
        <w:t xml:space="preserve"> Co se týká vydavatele, ten by zdanil 100 Kč a mohl by si odečíst 20 Kč na vstupu – bylo by tak zachováno pravidlo, že odvede v konečném důsledku tolik, kolik obdržel za plnění pro zákazníka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sym w:font="Symbol" w:char="F0B7"/>
      </w:r>
      <w:r w:rsidRPr="00EC5AA9">
        <w:rPr>
          <w:rFonts w:ascii="Arial" w:eastAsia="Times New Roman" w:hAnsi="Arial" w:cs="Arial"/>
          <w:lang w:eastAsia="cs-CZ"/>
        </w:rPr>
        <w:t xml:space="preserve"> Nicméně systém „povinných služeb předchozímu článku řetězce“ nakonec ve finálním znění EU DPH Směrnice není. Současně však bylo ponecháno pravidlo, že základem daně je nominální hodnota. </w:t>
      </w: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sym w:font="Symbol" w:char="F0B7"/>
      </w:r>
      <w:r w:rsidRPr="00EC5AA9">
        <w:rPr>
          <w:rFonts w:ascii="Arial" w:eastAsia="Times New Roman" w:hAnsi="Arial" w:cs="Arial"/>
          <w:lang w:eastAsia="cs-CZ"/>
        </w:rPr>
        <w:t xml:space="preserve"> Toho si pravděpodobně evropský zákonodárce na poslední chvíli povšiml a ve finálních fázích přijetí EU DPH Směrnice doplnil, že základ daně může být roven i „protiplnění zaplacenému za poukaz“. </w:t>
      </w:r>
    </w:p>
    <w:p w:rsidR="00EC5AA9" w:rsidRPr="00FA5C04" w:rsidRDefault="00EC5AA9" w:rsidP="00FA5C04">
      <w:pPr>
        <w:jc w:val="both"/>
        <w:rPr>
          <w:rFonts w:ascii="Arial" w:eastAsia="Times New Roman" w:hAnsi="Arial" w:cs="Arial"/>
          <w:lang w:eastAsia="cs-CZ"/>
        </w:rPr>
      </w:pPr>
    </w:p>
    <w:p w:rsidR="00EC5AA9"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Jde tak samozřejmě o zcela pokřiveně nastavená pravidla. Lze těžko s jistotou určit, zda ve smyslu EU DPH Směrnice „protiplnění zaplacené za MPV stravenku“ je to, co za ni zaplatil Zaměstnanec, nebo to, co za ni má obdržet Partner od Společnosti. </w:t>
      </w:r>
    </w:p>
    <w:p w:rsidR="00EC5AA9" w:rsidRPr="00FA5C04" w:rsidRDefault="00EC5AA9" w:rsidP="00FA5C04">
      <w:pPr>
        <w:jc w:val="both"/>
        <w:rPr>
          <w:rFonts w:ascii="Arial" w:eastAsia="Times New Roman" w:hAnsi="Arial" w:cs="Arial"/>
          <w:lang w:eastAsia="cs-CZ"/>
        </w:rPr>
      </w:pPr>
    </w:p>
    <w:p w:rsidR="00BA438A" w:rsidRPr="00FA5C04" w:rsidRDefault="00EC5AA9" w:rsidP="00FA5C04">
      <w:pPr>
        <w:jc w:val="both"/>
        <w:rPr>
          <w:rFonts w:ascii="Arial" w:eastAsia="Times New Roman" w:hAnsi="Arial" w:cs="Arial"/>
          <w:lang w:eastAsia="cs-CZ"/>
        </w:rPr>
      </w:pPr>
      <w:r w:rsidRPr="00EC5AA9">
        <w:rPr>
          <w:rFonts w:ascii="Arial" w:eastAsia="Times New Roman" w:hAnsi="Arial" w:cs="Arial"/>
          <w:lang w:eastAsia="cs-CZ"/>
        </w:rPr>
        <w:t xml:space="preserve">Je tak nezbytné výkladově překonat tuto právní nejistotu, přijmout sjednocující výklad EU DPH Směrnice a teprve dle něj vyložit zákon o DPH. Lze se nicméně spíše </w:t>
      </w:r>
      <w:r w:rsidR="00BA438A" w:rsidRPr="00FA5C04">
        <w:rPr>
          <w:rFonts w:ascii="Arial" w:eastAsia="Times New Roman" w:hAnsi="Arial" w:cs="Arial"/>
          <w:lang w:eastAsia="cs-CZ"/>
        </w:rPr>
        <w:t xml:space="preserve">domnívat, že základem daně u příslušného zdanitelného plnění je to, co za MPV stravenku zaplatil Zaměstnanec (nebo za něj třetí osoba), nebo její nominální hodnota. </w:t>
      </w:r>
    </w:p>
    <w:p w:rsidR="00BA438A" w:rsidRPr="00FA5C04" w:rsidRDefault="00BA438A" w:rsidP="00FA5C04">
      <w:pPr>
        <w:jc w:val="both"/>
        <w:rPr>
          <w:rFonts w:ascii="Arial" w:eastAsia="Times New Roman" w:hAnsi="Arial" w:cs="Arial"/>
          <w:lang w:eastAsia="cs-CZ"/>
        </w:rPr>
      </w:pP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3.2 Jaký DPH režim přisoudit provizi účtované Společností Zaměstnavateli? </w:t>
      </w:r>
    </w:p>
    <w:p w:rsidR="00BA438A" w:rsidRPr="00FA5C04" w:rsidRDefault="00BA438A" w:rsidP="00FA5C04">
      <w:pPr>
        <w:jc w:val="both"/>
        <w:rPr>
          <w:rFonts w:ascii="Arial" w:eastAsia="Times New Roman" w:hAnsi="Arial" w:cs="Arial"/>
          <w:lang w:eastAsia="cs-CZ"/>
        </w:rPr>
      </w:pP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Na první pohled by se mohlo na základě zákona o DPH jevit, že provize účtovaná Společností by měla mít shodný DPH režim jako samotný převod MPV stravenky. Uvedené by totiž bylo předpokládatelné a odůvodnitelné prostřednictvím pravidel pro komplexní plnění (služba distribuce MPV stravenek je bezesporu vedlejším plněním při vydání). </w:t>
      </w:r>
    </w:p>
    <w:p w:rsidR="00BA438A" w:rsidRPr="00FA5C04" w:rsidRDefault="00BA438A" w:rsidP="00FA5C04">
      <w:pPr>
        <w:jc w:val="both"/>
        <w:rPr>
          <w:rFonts w:ascii="Arial" w:eastAsia="Times New Roman" w:hAnsi="Arial" w:cs="Arial"/>
          <w:lang w:eastAsia="cs-CZ"/>
        </w:rPr>
      </w:pP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Nicméně lze dovodit, že v případě provize za vydání MPV stravenky by se mělo jednat o odměnu za službu, která by měla mít svůj vlastní DPH režim. Zákon o DPH totiž uvádí tento text: </w:t>
      </w:r>
    </w:p>
    <w:p w:rsidR="00BA438A" w:rsidRPr="00FA5C04" w:rsidRDefault="00BA438A" w:rsidP="00FA5C04">
      <w:pPr>
        <w:jc w:val="both"/>
        <w:rPr>
          <w:rFonts w:ascii="Arial" w:eastAsia="Times New Roman" w:hAnsi="Arial" w:cs="Arial"/>
          <w:lang w:eastAsia="cs-CZ"/>
        </w:rPr>
      </w:pP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„§15a odst. 1) Převod víceúčelového poukazu se pro účely daně z přidané hodnoty nepovažuje za dodání zboží nebo poskytnutí služby, na něž se poukaz vztahuje. </w:t>
      </w: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§15a odst. 2) [...] </w:t>
      </w: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§15a odst. 3) Je-li v přímé souvislosti s převodem víceúčelového poukazu osobou povinnou k dani jinou než osobou, která má povinnost tento poukaz přijmout jako úplatu nebo část úplaty, poskytnuta samostatná služba, odstavec 1 se na poskytnutí této služby nepoužije“ </w:t>
      </w:r>
    </w:p>
    <w:p w:rsidR="00BA438A" w:rsidRPr="00FA5C04" w:rsidRDefault="00BA438A" w:rsidP="00FA5C04">
      <w:pPr>
        <w:jc w:val="both"/>
        <w:rPr>
          <w:rFonts w:ascii="Arial" w:eastAsia="Times New Roman" w:hAnsi="Arial" w:cs="Arial"/>
          <w:lang w:eastAsia="cs-CZ"/>
        </w:rPr>
      </w:pP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Daný text v §15a odst. 3) zákona o DPH tak z působnosti pravidla, podle kterého se vydání ani převod MPV stravenky nepovažuje za uskutečněné plnění, vyjímá poskytnutí samostatných služeb. Je zjevné, že takový text nemá žádné opodstatnění v případě, že by byla v přímé souvislosti s převodem MPV stravenky poskytnuta služba, která již samo od sebe představuje samostatné plnění. Takovou službu by ani nemělo smysl zahrnovat do režimu přisuzovanému převodu MPV stravenky a nemělo by tak smysl ji z tohoto režimu zákonem vyjímat. §15a odst. 3) zákona o DPH stanovuje, že v případě samostatně identifikovatelné služby (která by mohla být, nebo dokonce i je prizmatem pravidel komplexního plnění považována) za vedlejší plnění k </w:t>
      </w:r>
      <w:r w:rsidRPr="00FA5C04">
        <w:rPr>
          <w:rFonts w:ascii="Arial" w:eastAsia="Times New Roman" w:hAnsi="Arial" w:cs="Arial"/>
          <w:lang w:eastAsia="cs-CZ"/>
        </w:rPr>
        <w:lastRenderedPageBreak/>
        <w:t xml:space="preserve">převodu MPV stravenky, se na takovou službu nemají pravidla pro převod MPV stravenky aplikovat. </w:t>
      </w:r>
    </w:p>
    <w:p w:rsidR="00BA438A" w:rsidRPr="00FA5C04" w:rsidRDefault="00BA438A" w:rsidP="00FA5C04">
      <w:pPr>
        <w:jc w:val="both"/>
        <w:rPr>
          <w:rFonts w:ascii="Arial" w:eastAsia="Times New Roman" w:hAnsi="Arial" w:cs="Arial"/>
          <w:lang w:eastAsia="cs-CZ"/>
        </w:rPr>
      </w:pP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Důvodová zpráva k novele zákona o DPH, která pravidla pro poukazy má zavést, toto potvrzuje, když uvádí, že danými službami se samostatným režimem se rozumí například distribuční služby. Je skutečně obtížně představitelné, že právě distribuční služby by zákonodárce měl potřebu explicitně vyjímat zákonem, kdyby se mělo jednat o samostatné plnění již z podstaty. Shledávám, že distribuční služby spíše považuje za plnění, které je nutno explicitně vyjímat zákonem právě proto, aby se vždy jednalo o samostatné plnění. </w:t>
      </w:r>
    </w:p>
    <w:p w:rsidR="00BA438A" w:rsidRPr="00FA5C04" w:rsidRDefault="00BA438A" w:rsidP="00FA5C04">
      <w:pPr>
        <w:jc w:val="both"/>
        <w:rPr>
          <w:rFonts w:ascii="Arial" w:eastAsia="Times New Roman" w:hAnsi="Arial" w:cs="Arial"/>
          <w:lang w:eastAsia="cs-CZ"/>
        </w:rPr>
      </w:pP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Provize za vydání MPV stravenky by tak měla mít povinně svůj vlastní DPH režim. Mělo by se jednat o úplatu za zdanitelné plnění podléhající sazbě DPH </w:t>
      </w:r>
      <w:proofErr w:type="gramStart"/>
      <w:r w:rsidRPr="00FA5C04">
        <w:rPr>
          <w:rFonts w:ascii="Arial" w:eastAsia="Times New Roman" w:hAnsi="Arial" w:cs="Arial"/>
          <w:lang w:eastAsia="cs-CZ"/>
        </w:rPr>
        <w:t>21%</w:t>
      </w:r>
      <w:proofErr w:type="gramEnd"/>
      <w:r w:rsidRPr="00FA5C04">
        <w:rPr>
          <w:rFonts w:ascii="Arial" w:eastAsia="Times New Roman" w:hAnsi="Arial" w:cs="Arial"/>
          <w:lang w:eastAsia="cs-CZ"/>
        </w:rPr>
        <w:t xml:space="preserve">. </w:t>
      </w:r>
    </w:p>
    <w:p w:rsidR="00BA438A" w:rsidRPr="00FA5C04" w:rsidRDefault="00BA438A" w:rsidP="00FA5C04">
      <w:pPr>
        <w:jc w:val="both"/>
        <w:rPr>
          <w:rFonts w:ascii="Arial" w:eastAsia="Times New Roman" w:hAnsi="Arial" w:cs="Arial"/>
          <w:lang w:eastAsia="cs-CZ"/>
        </w:rPr>
      </w:pPr>
    </w:p>
    <w:p w:rsidR="00BA438A" w:rsidRPr="00FA5C04" w:rsidRDefault="00BA438A" w:rsidP="00FA5C04">
      <w:pPr>
        <w:jc w:val="both"/>
        <w:rPr>
          <w:rFonts w:ascii="Arial" w:eastAsia="Times New Roman" w:hAnsi="Arial" w:cs="Arial"/>
          <w:lang w:eastAsia="cs-CZ"/>
        </w:rPr>
      </w:pPr>
      <w:r w:rsidRPr="00FA5C04">
        <w:rPr>
          <w:rFonts w:ascii="Arial" w:eastAsia="Times New Roman" w:hAnsi="Arial" w:cs="Arial"/>
          <w:lang w:eastAsia="cs-CZ"/>
        </w:rPr>
        <w:t xml:space="preserve">Perspektiva EU DPH Směrnice: Výše popsané principy platí i na základě EU DPH Směrnice. Směrnice je dokonce ještě více přímočará, neboť stanovuje, </w:t>
      </w:r>
      <w:r w:rsidRPr="00C27EE3">
        <w:rPr>
          <w:rFonts w:ascii="Arial" w:eastAsia="Times New Roman" w:hAnsi="Arial" w:cs="Arial"/>
          <w:b/>
          <w:bCs/>
          <w:lang w:eastAsia="cs-CZ"/>
        </w:rPr>
        <w:t xml:space="preserve">že předmětem daně je “každé poskytnutí služby, kterou lze určit”. </w:t>
      </w:r>
      <w:r w:rsidRPr="00FA5C04">
        <w:rPr>
          <w:rFonts w:ascii="Arial" w:eastAsia="Times New Roman" w:hAnsi="Arial" w:cs="Arial"/>
          <w:lang w:eastAsia="cs-CZ"/>
        </w:rPr>
        <w:t>Použití slova “určit” utvrzuje v názoru, že jde pouze o určitelnost služby; ta ve skutečnosti může být součástí jediného komplexního plnění. Navíc “distribuční služby” EU DPH Směrnice přímo uvádí jako příklad takových služeb. Zde platí to, co uvedeno výše.</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3.3 Jaký DPH režim přisoudit provizi účtované společností Partnerům výměnou za MPV stravenky?</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Za předpokladu, že stravenka je považována za MPV, pak na službu, za níž je účtována provize dopadají ustanovení o povinném přiřknutí vlastního DPH režimu (viz předchozí kapitola)</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 xml:space="preserve">Jde o službu spočívající ve zprostředkování zákazníků Partnerům. Jedná se o zdanitelné plnění podléhající sazbě DPH </w:t>
      </w:r>
      <w:proofErr w:type="gramStart"/>
      <w:r w:rsidRPr="00BA438A">
        <w:rPr>
          <w:rFonts w:ascii="Arial" w:eastAsia="Times New Roman" w:hAnsi="Arial" w:cs="Arial"/>
          <w:lang w:eastAsia="cs-CZ"/>
        </w:rPr>
        <w:t>21%</w:t>
      </w:r>
      <w:proofErr w:type="gramEnd"/>
      <w:r w:rsidRPr="00BA438A">
        <w:rPr>
          <w:rFonts w:ascii="Arial" w:eastAsia="Times New Roman" w:hAnsi="Arial" w:cs="Arial"/>
          <w:lang w:eastAsia="cs-CZ"/>
        </w:rPr>
        <w:t>.</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Perspektiva EU DPH Směrnice: Výše popsané principy platí i na základě EU DPH Směrnice.</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3.4 V jaké výši vznikají nároky na odpočet daně u vstupů Společnosti?</w:t>
      </w:r>
    </w:p>
    <w:p w:rsidR="00BA438A" w:rsidRPr="00FA5C04" w:rsidRDefault="00BA438A" w:rsidP="00FA5C04">
      <w:pPr>
        <w:jc w:val="both"/>
        <w:rPr>
          <w:rFonts w:ascii="Arial" w:eastAsia="Times New Roman" w:hAnsi="Arial" w:cs="Arial"/>
          <w:lang w:eastAsia="cs-CZ"/>
        </w:rPr>
      </w:pPr>
    </w:p>
    <w:p w:rsidR="00BA438A" w:rsidRPr="00075188" w:rsidRDefault="00BA438A" w:rsidP="00FA5C04">
      <w:pPr>
        <w:jc w:val="both"/>
        <w:rPr>
          <w:rFonts w:ascii="Arial" w:eastAsia="Times New Roman" w:hAnsi="Arial" w:cs="Arial"/>
          <w:b/>
          <w:bCs/>
          <w:lang w:eastAsia="cs-CZ"/>
        </w:rPr>
      </w:pPr>
      <w:r w:rsidRPr="00BA438A">
        <w:rPr>
          <w:rFonts w:ascii="Arial" w:eastAsia="Times New Roman" w:hAnsi="Arial" w:cs="Arial"/>
          <w:lang w:eastAsia="cs-CZ"/>
        </w:rPr>
        <w:t xml:space="preserve">Společnost vydáváním a zpětným vykupováním MPV stravenek, kdy fakturuje provize jak Zaměstnavatelům, tak Partnerům, vykonává dva typy plnění. </w:t>
      </w:r>
      <w:r w:rsidRPr="00EA0EA8">
        <w:rPr>
          <w:rFonts w:ascii="Arial" w:eastAsia="Times New Roman" w:hAnsi="Arial" w:cs="Arial"/>
          <w:b/>
          <w:bCs/>
          <w:lang w:eastAsia="cs-CZ"/>
        </w:rPr>
        <w:t>Jeden typ plnění je mimo předmět daně, a druhým jsou zdanitelná plnění v podobě služby distribuční/zprostředkovatelské.</w:t>
      </w:r>
      <w:bookmarkStart w:id="0" w:name="_GoBack"/>
      <w:bookmarkEnd w:id="0"/>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075188">
        <w:rPr>
          <w:rFonts w:ascii="Arial" w:eastAsia="Times New Roman" w:hAnsi="Arial" w:cs="Arial"/>
          <w:b/>
          <w:bCs/>
          <w:lang w:eastAsia="cs-CZ"/>
        </w:rPr>
        <w:t>Protože Společnost vydáváním MPV provádí plnění, která jsou mimo předmět daně,</w:t>
      </w:r>
      <w:r w:rsidRPr="00BA438A">
        <w:rPr>
          <w:rFonts w:ascii="Arial" w:eastAsia="Times New Roman" w:hAnsi="Arial" w:cs="Arial"/>
          <w:lang w:eastAsia="cs-CZ"/>
        </w:rPr>
        <w:t xml:space="preserve"> tak v souvislosti s takovými plněními by v principu nárok na odpočet daně mít neměla. Tato skutečnost by dle konstantní judikatury SDEU měla vést k určitým redukcím výše nároku na odpočet daně, přitom SDEU ponechává na členských státech stanovení poměrového koeficientu pro krácení odpočtu. </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 xml:space="preserve">Při určení tohoto koeficientu je nutno vycházet z toho, že veškeré náklady Společnosti jsou kalkulační položkou hodnoty provizí, hodnota MPV stravenky je z tohoto pohledu nedůležitá.29 Bylo by proti neutralitě systému DPH, aby Společnost neměla nárok na </w:t>
      </w:r>
      <w:r w:rsidRPr="00BA438A">
        <w:rPr>
          <w:rFonts w:ascii="Arial" w:eastAsia="Times New Roman" w:hAnsi="Arial" w:cs="Arial"/>
          <w:lang w:eastAsia="cs-CZ"/>
        </w:rPr>
        <w:lastRenderedPageBreak/>
        <w:t xml:space="preserve">odpočet z nákladů, z jejichž hodnoty odvádí DPH na výstupu. Hodnota poměrového koeficientu by proto měla být ve výši </w:t>
      </w:r>
      <w:proofErr w:type="gramStart"/>
      <w:r w:rsidRPr="00BA438A">
        <w:rPr>
          <w:rFonts w:ascii="Arial" w:eastAsia="Times New Roman" w:hAnsi="Arial" w:cs="Arial"/>
          <w:lang w:eastAsia="cs-CZ"/>
        </w:rPr>
        <w:t>100%</w:t>
      </w:r>
      <w:proofErr w:type="gramEnd"/>
      <w:r w:rsidRPr="00BA438A">
        <w:rPr>
          <w:rFonts w:ascii="Arial" w:eastAsia="Times New Roman" w:hAnsi="Arial" w:cs="Arial"/>
          <w:lang w:eastAsia="cs-CZ"/>
        </w:rPr>
        <w:t>. V konečném důsledku by tak Společnost měla mít nárok na odpočet daně v plné míře ze všech přímých i nepřímých nákladů týkajících se vydávání, distribuce či zpětného odběru MPV stravenek.</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Perspektiva EU DPH Směrnice: Výše popsané principy platí i na základě EU DPH Směrnice.</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4 Návrh</w:t>
      </w:r>
    </w:p>
    <w:p w:rsidR="00BA438A" w:rsidRPr="00FA5C04" w:rsidRDefault="00BA438A" w:rsidP="00FA5C04">
      <w:pPr>
        <w:jc w:val="both"/>
        <w:rPr>
          <w:rFonts w:ascii="Arial" w:eastAsia="Times New Roman" w:hAnsi="Arial" w:cs="Arial"/>
          <w:lang w:eastAsia="cs-CZ"/>
        </w:rPr>
      </w:pPr>
    </w:p>
    <w:p w:rsidR="00BA438A" w:rsidRPr="00BA438A" w:rsidRDefault="00BA438A" w:rsidP="00FA5C04">
      <w:pPr>
        <w:jc w:val="both"/>
        <w:rPr>
          <w:rFonts w:ascii="Arial" w:eastAsia="Times New Roman" w:hAnsi="Arial" w:cs="Arial"/>
          <w:lang w:eastAsia="cs-CZ"/>
        </w:rPr>
      </w:pPr>
      <w:r w:rsidRPr="00BA438A">
        <w:rPr>
          <w:rFonts w:ascii="Arial" w:eastAsia="Times New Roman" w:hAnsi="Arial" w:cs="Arial"/>
          <w:lang w:eastAsia="cs-CZ"/>
        </w:rPr>
        <w:t>Navrhuji přijmout výklad a náležitým způsobem jej publikovat:</w:t>
      </w:r>
    </w:p>
    <w:p w:rsidR="00BA438A" w:rsidRPr="00FA5C04" w:rsidRDefault="00BA438A" w:rsidP="00FA5C04">
      <w:pPr>
        <w:jc w:val="both"/>
        <w:rPr>
          <w:rFonts w:ascii="Arial" w:eastAsia="Times New Roman" w:hAnsi="Arial" w:cs="Arial"/>
          <w:lang w:eastAsia="cs-CZ"/>
        </w:rPr>
      </w:pPr>
    </w:p>
    <w:p w:rsidR="00FA5C04" w:rsidRPr="00FA5C04" w:rsidRDefault="00FA5C04" w:rsidP="00FA5C04">
      <w:pPr>
        <w:jc w:val="both"/>
        <w:rPr>
          <w:rFonts w:ascii="Arial" w:eastAsia="Times New Roman" w:hAnsi="Arial" w:cs="Arial"/>
          <w:lang w:eastAsia="cs-CZ"/>
        </w:rPr>
      </w:pPr>
      <w:r w:rsidRPr="00FA5C04">
        <w:rPr>
          <w:rFonts w:ascii="Arial" w:eastAsia="Times New Roman" w:hAnsi="Arial" w:cs="Arial"/>
          <w:lang w:eastAsia="cs-CZ"/>
        </w:rPr>
        <w:t>1) V případě SPV stravenky na odběr služby stravovací platí:</w:t>
      </w:r>
    </w:p>
    <w:p w:rsidR="00FA5C04" w:rsidRPr="00FA5C04" w:rsidRDefault="00FA5C04" w:rsidP="00FA5C04">
      <w:pPr>
        <w:jc w:val="both"/>
        <w:rPr>
          <w:rFonts w:ascii="Arial" w:eastAsia="Times New Roman" w:hAnsi="Arial" w:cs="Arial"/>
          <w:lang w:eastAsia="cs-CZ"/>
        </w:rPr>
      </w:pPr>
    </w:p>
    <w:p w:rsidR="00FA5C04" w:rsidRPr="00FA5C04" w:rsidRDefault="00FA5C04" w:rsidP="00FA5C04">
      <w:pPr>
        <w:jc w:val="both"/>
        <w:rPr>
          <w:rFonts w:ascii="Arial" w:eastAsia="Times New Roman" w:hAnsi="Arial" w:cs="Arial"/>
          <w:lang w:eastAsia="cs-CZ"/>
        </w:rPr>
      </w:pPr>
      <w:r w:rsidRPr="00FA5C04">
        <w:rPr>
          <w:rFonts w:ascii="Arial" w:eastAsia="Times New Roman" w:hAnsi="Arial" w:cs="Arial"/>
          <w:lang w:eastAsia="cs-CZ"/>
        </w:rPr>
        <w:t xml:space="preserve">a) Společnost je povinna odvádět DPH ve výši </w:t>
      </w:r>
      <w:proofErr w:type="gramStart"/>
      <w:r w:rsidRPr="00FA5C04">
        <w:rPr>
          <w:rFonts w:ascii="Arial" w:eastAsia="Times New Roman" w:hAnsi="Arial" w:cs="Arial"/>
          <w:lang w:eastAsia="cs-CZ"/>
        </w:rPr>
        <w:t>15%</w:t>
      </w:r>
      <w:proofErr w:type="gramEnd"/>
      <w:r w:rsidRPr="00FA5C04">
        <w:rPr>
          <w:rFonts w:ascii="Arial" w:eastAsia="Times New Roman" w:hAnsi="Arial" w:cs="Arial"/>
          <w:lang w:eastAsia="cs-CZ"/>
        </w:rPr>
        <w:t xml:space="preserve"> ze všeho, co má v přímé souvislosti s prodejem SPV stravenky obdržet, tedy i z provize, kterou účtuje Zaměstnavateli. </w:t>
      </w:r>
    </w:p>
    <w:p w:rsidR="00FA5C04" w:rsidRPr="00FA5C04" w:rsidRDefault="00FA5C04" w:rsidP="00FA5C04">
      <w:pPr>
        <w:jc w:val="both"/>
        <w:rPr>
          <w:rFonts w:ascii="Arial" w:eastAsia="Times New Roman" w:hAnsi="Arial" w:cs="Arial"/>
          <w:lang w:eastAsia="cs-CZ"/>
        </w:rPr>
      </w:pPr>
      <w:r w:rsidRPr="00FA5C04">
        <w:rPr>
          <w:rFonts w:ascii="Arial" w:eastAsia="Times New Roman" w:hAnsi="Arial" w:cs="Arial"/>
          <w:lang w:eastAsia="cs-CZ"/>
        </w:rPr>
        <w:t xml:space="preserve">b) Provize účtovaná Společností Partnerům představuje úplatu za zdanitelnou službu podléhající sazbě DPH </w:t>
      </w:r>
      <w:proofErr w:type="gramStart"/>
      <w:r w:rsidRPr="00FA5C04">
        <w:rPr>
          <w:rFonts w:ascii="Arial" w:eastAsia="Times New Roman" w:hAnsi="Arial" w:cs="Arial"/>
          <w:lang w:eastAsia="cs-CZ"/>
        </w:rPr>
        <w:t>21%</w:t>
      </w:r>
      <w:proofErr w:type="gramEnd"/>
      <w:r w:rsidRPr="00FA5C04">
        <w:rPr>
          <w:rFonts w:ascii="Arial" w:eastAsia="Times New Roman" w:hAnsi="Arial" w:cs="Arial"/>
          <w:lang w:eastAsia="cs-CZ"/>
        </w:rPr>
        <w:t xml:space="preserve">. </w:t>
      </w:r>
    </w:p>
    <w:p w:rsidR="00FA5C04" w:rsidRPr="00075188" w:rsidRDefault="00FA5C04" w:rsidP="00FA5C04">
      <w:pPr>
        <w:jc w:val="both"/>
        <w:rPr>
          <w:rFonts w:ascii="Arial" w:eastAsia="Times New Roman" w:hAnsi="Arial" w:cs="Arial"/>
          <w:b/>
          <w:bCs/>
          <w:lang w:eastAsia="cs-CZ"/>
        </w:rPr>
      </w:pPr>
      <w:r w:rsidRPr="00FA5C04">
        <w:rPr>
          <w:rFonts w:ascii="Arial" w:eastAsia="Times New Roman" w:hAnsi="Arial" w:cs="Arial"/>
          <w:lang w:eastAsia="cs-CZ"/>
        </w:rPr>
        <w:t xml:space="preserve">c) </w:t>
      </w:r>
      <w:r w:rsidRPr="00075188">
        <w:rPr>
          <w:rFonts w:ascii="Arial" w:eastAsia="Times New Roman" w:hAnsi="Arial" w:cs="Arial"/>
          <w:b/>
          <w:bCs/>
          <w:lang w:eastAsia="cs-CZ"/>
        </w:rPr>
        <w:t>Společnost má nárok na odpočet daně v plné míře ze všech přímých i nepřímých nákladů týkajících se vydávání, distribuce či zpětného odběru SPV stravenek.</w:t>
      </w:r>
    </w:p>
    <w:p w:rsidR="00FA5C04" w:rsidRPr="00075188" w:rsidRDefault="00FA5C04" w:rsidP="00FA5C04">
      <w:pPr>
        <w:jc w:val="both"/>
        <w:rPr>
          <w:rFonts w:ascii="Arial" w:eastAsia="Times New Roman" w:hAnsi="Arial" w:cs="Arial"/>
          <w:b/>
          <w:bCs/>
          <w:lang w:eastAsia="cs-CZ"/>
        </w:rPr>
      </w:pPr>
    </w:p>
    <w:p w:rsidR="00FA5C04" w:rsidRPr="00FA5C04" w:rsidRDefault="00FA5C04" w:rsidP="00FA5C04">
      <w:pPr>
        <w:jc w:val="both"/>
        <w:rPr>
          <w:rFonts w:ascii="Arial" w:eastAsia="Times New Roman" w:hAnsi="Arial" w:cs="Arial"/>
          <w:lang w:eastAsia="cs-CZ"/>
        </w:rPr>
      </w:pPr>
      <w:r w:rsidRPr="00FA5C04">
        <w:rPr>
          <w:rFonts w:ascii="Arial" w:eastAsia="Times New Roman" w:hAnsi="Arial" w:cs="Arial"/>
          <w:lang w:eastAsia="cs-CZ"/>
        </w:rPr>
        <w:t xml:space="preserve">2) V případě MPV stravenky platí: </w:t>
      </w:r>
    </w:p>
    <w:p w:rsidR="00FA5C04" w:rsidRPr="00FA5C04" w:rsidRDefault="00FA5C04" w:rsidP="00FA5C04">
      <w:pPr>
        <w:jc w:val="both"/>
        <w:rPr>
          <w:rFonts w:ascii="Arial" w:eastAsia="Times New Roman" w:hAnsi="Arial" w:cs="Arial"/>
          <w:lang w:eastAsia="cs-CZ"/>
        </w:rPr>
      </w:pPr>
    </w:p>
    <w:p w:rsidR="00FA5C04" w:rsidRPr="00FA5C04" w:rsidRDefault="00FA5C04" w:rsidP="00FA5C04">
      <w:pPr>
        <w:jc w:val="both"/>
        <w:rPr>
          <w:rFonts w:ascii="Arial" w:eastAsia="Times New Roman" w:hAnsi="Arial" w:cs="Arial"/>
          <w:lang w:eastAsia="cs-CZ"/>
        </w:rPr>
      </w:pPr>
      <w:r w:rsidRPr="00FA5C04">
        <w:rPr>
          <w:rFonts w:ascii="Arial" w:eastAsia="Times New Roman" w:hAnsi="Arial" w:cs="Arial"/>
          <w:lang w:eastAsia="cs-CZ"/>
        </w:rPr>
        <w:t xml:space="preserve">a) Základem daně u příslušného zdanitelného plnění je to, co za MPV stravenku zaplatil Zaměstnanec (nebo za něj třetí osoba), nebo její nominální hodnota. </w:t>
      </w:r>
    </w:p>
    <w:p w:rsidR="00FA5C04" w:rsidRPr="00FA5C04" w:rsidRDefault="00FA5C04" w:rsidP="00FA5C04">
      <w:pPr>
        <w:jc w:val="both"/>
        <w:rPr>
          <w:rFonts w:ascii="Arial" w:eastAsia="Times New Roman" w:hAnsi="Arial" w:cs="Arial"/>
          <w:lang w:eastAsia="cs-CZ"/>
        </w:rPr>
      </w:pPr>
      <w:r w:rsidRPr="00FA5C04">
        <w:rPr>
          <w:rFonts w:ascii="Arial" w:eastAsia="Times New Roman" w:hAnsi="Arial" w:cs="Arial"/>
          <w:lang w:eastAsia="cs-CZ"/>
        </w:rPr>
        <w:t xml:space="preserve">b) Provize za vydání MPV stravenky účtovaná Zaměstnavateli má povinně svůj vlastní DPH režim. Jedná se o úplatu za zdanitelné plnění podléhající sazbě DPH </w:t>
      </w:r>
      <w:proofErr w:type="gramStart"/>
      <w:r w:rsidRPr="00FA5C04">
        <w:rPr>
          <w:rFonts w:ascii="Arial" w:eastAsia="Times New Roman" w:hAnsi="Arial" w:cs="Arial"/>
          <w:lang w:eastAsia="cs-CZ"/>
        </w:rPr>
        <w:t>21%</w:t>
      </w:r>
      <w:proofErr w:type="gramEnd"/>
      <w:r w:rsidRPr="00FA5C04">
        <w:rPr>
          <w:rFonts w:ascii="Arial" w:eastAsia="Times New Roman" w:hAnsi="Arial" w:cs="Arial"/>
          <w:lang w:eastAsia="cs-CZ"/>
        </w:rPr>
        <w:t xml:space="preserve">. </w:t>
      </w:r>
    </w:p>
    <w:p w:rsidR="00FA5C04" w:rsidRPr="00FA5C04" w:rsidRDefault="00FA5C04" w:rsidP="00FA5C04">
      <w:pPr>
        <w:jc w:val="both"/>
        <w:rPr>
          <w:rFonts w:ascii="Arial" w:eastAsia="Times New Roman" w:hAnsi="Arial" w:cs="Arial"/>
          <w:lang w:eastAsia="cs-CZ"/>
        </w:rPr>
      </w:pPr>
      <w:r w:rsidRPr="00FA5C04">
        <w:rPr>
          <w:rFonts w:ascii="Arial" w:eastAsia="Times New Roman" w:hAnsi="Arial" w:cs="Arial"/>
          <w:lang w:eastAsia="cs-CZ"/>
        </w:rPr>
        <w:t xml:space="preserve">c) Podobně provize účtovaná společností Partnerům výměnou za MPV stravenky je úplatou za zdanitelné plnění podléhající sazbě DPH </w:t>
      </w:r>
      <w:proofErr w:type="gramStart"/>
      <w:r w:rsidRPr="00FA5C04">
        <w:rPr>
          <w:rFonts w:ascii="Arial" w:eastAsia="Times New Roman" w:hAnsi="Arial" w:cs="Arial"/>
          <w:lang w:eastAsia="cs-CZ"/>
        </w:rPr>
        <w:t>21%</w:t>
      </w:r>
      <w:proofErr w:type="gramEnd"/>
      <w:r w:rsidRPr="00FA5C04">
        <w:rPr>
          <w:rFonts w:ascii="Arial" w:eastAsia="Times New Roman" w:hAnsi="Arial" w:cs="Arial"/>
          <w:lang w:eastAsia="cs-CZ"/>
        </w:rPr>
        <w:t>.</w:t>
      </w:r>
    </w:p>
    <w:p w:rsidR="00FA5C04" w:rsidRPr="00075188" w:rsidRDefault="00FA5C04" w:rsidP="00FA5C04">
      <w:pPr>
        <w:jc w:val="both"/>
        <w:rPr>
          <w:rFonts w:ascii="Arial" w:eastAsia="Times New Roman" w:hAnsi="Arial" w:cs="Arial"/>
          <w:b/>
          <w:bCs/>
          <w:lang w:eastAsia="cs-CZ"/>
        </w:rPr>
      </w:pPr>
      <w:r w:rsidRPr="00075188">
        <w:rPr>
          <w:rFonts w:ascii="Arial" w:eastAsia="Times New Roman" w:hAnsi="Arial" w:cs="Arial"/>
          <w:b/>
          <w:bCs/>
          <w:lang w:eastAsia="cs-CZ"/>
        </w:rPr>
        <w:t xml:space="preserve"> d) Společnost má nárok na odpočet daně v plné míře</w:t>
      </w:r>
      <w:r w:rsidRPr="00075188">
        <w:rPr>
          <w:rFonts w:ascii="Arial" w:eastAsia="Times New Roman" w:hAnsi="Arial" w:cs="Arial"/>
          <w:b/>
          <w:bCs/>
          <w:vertAlign w:val="superscript"/>
          <w:lang w:eastAsia="cs-CZ"/>
        </w:rPr>
        <w:t>31</w:t>
      </w:r>
      <w:r w:rsidRPr="00075188">
        <w:rPr>
          <w:rFonts w:ascii="Arial" w:eastAsia="Times New Roman" w:hAnsi="Arial" w:cs="Arial"/>
          <w:b/>
          <w:bCs/>
          <w:lang w:eastAsia="cs-CZ"/>
        </w:rPr>
        <w:t xml:space="preserve"> ze všech přímých i nepřímých nákladů týkajících se vydávání, distribuce či zpětného odběru MPV stravenek.</w:t>
      </w:r>
    </w:p>
    <w:p w:rsidR="00FA5C04" w:rsidRPr="00075188" w:rsidRDefault="00FA5C04" w:rsidP="00FA5C04">
      <w:pPr>
        <w:jc w:val="both"/>
        <w:rPr>
          <w:rFonts w:ascii="Arial" w:eastAsia="Times New Roman" w:hAnsi="Arial" w:cs="Arial"/>
          <w:b/>
          <w:bCs/>
          <w:i/>
          <w:iCs/>
          <w:lang w:eastAsia="cs-CZ"/>
        </w:rPr>
      </w:pPr>
    </w:p>
    <w:p w:rsidR="00FA5C04" w:rsidRPr="00FA5C04" w:rsidRDefault="00FA5C04" w:rsidP="00FA5C04">
      <w:pPr>
        <w:jc w:val="both"/>
        <w:rPr>
          <w:rFonts w:ascii="Arial" w:eastAsia="Times New Roman" w:hAnsi="Arial" w:cs="Arial"/>
          <w:b/>
          <w:bCs/>
          <w:i/>
          <w:iCs/>
          <w:highlight w:val="cyan"/>
          <w:u w:val="single"/>
          <w:lang w:eastAsia="cs-CZ"/>
        </w:rPr>
      </w:pPr>
      <w:r w:rsidRPr="00FA5C04">
        <w:rPr>
          <w:rFonts w:ascii="Arial" w:eastAsia="Times New Roman" w:hAnsi="Arial" w:cs="Arial"/>
          <w:b/>
          <w:bCs/>
          <w:i/>
          <w:iCs/>
          <w:highlight w:val="cyan"/>
          <w:u w:val="single"/>
          <w:lang w:eastAsia="cs-CZ"/>
        </w:rPr>
        <w:t xml:space="preserve">Stanovisko GFŘ: </w:t>
      </w:r>
    </w:p>
    <w:p w:rsidR="00FA5C04" w:rsidRPr="00FA5C04" w:rsidRDefault="00FA5C04" w:rsidP="00FA5C04">
      <w:pPr>
        <w:jc w:val="both"/>
        <w:rPr>
          <w:rFonts w:ascii="Arial" w:eastAsia="Times New Roman" w:hAnsi="Arial" w:cs="Arial"/>
          <w:i/>
          <w:iCs/>
          <w:highlight w:val="cyan"/>
          <w:lang w:eastAsia="cs-CZ"/>
        </w:rPr>
      </w:pPr>
    </w:p>
    <w:p w:rsidR="00FA5C04" w:rsidRPr="00FA5C04" w:rsidRDefault="00FA5C04" w:rsidP="00FA5C04">
      <w:pPr>
        <w:jc w:val="both"/>
        <w:rPr>
          <w:rFonts w:ascii="Arial" w:eastAsia="Times New Roman" w:hAnsi="Arial" w:cs="Arial"/>
          <w:i/>
          <w:iCs/>
          <w:highlight w:val="cyan"/>
          <w:lang w:eastAsia="cs-CZ"/>
        </w:rPr>
      </w:pPr>
      <w:r w:rsidRPr="00FA5C04">
        <w:rPr>
          <w:rFonts w:ascii="Arial" w:eastAsia="Times New Roman" w:hAnsi="Arial" w:cs="Arial"/>
          <w:i/>
          <w:iCs/>
          <w:highlight w:val="cyan"/>
          <w:lang w:eastAsia="cs-CZ"/>
        </w:rPr>
        <w:t xml:space="preserve">Se závěry uvedenými v bodě 1 Návrhu souhlasíme. </w:t>
      </w:r>
    </w:p>
    <w:p w:rsidR="00FA5C04" w:rsidRPr="00FA5C04" w:rsidRDefault="00FA5C04" w:rsidP="00FA5C04">
      <w:pPr>
        <w:jc w:val="both"/>
        <w:rPr>
          <w:rFonts w:ascii="Arial" w:eastAsia="Times New Roman" w:hAnsi="Arial" w:cs="Arial"/>
          <w:i/>
          <w:iCs/>
          <w:highlight w:val="cyan"/>
          <w:lang w:eastAsia="cs-CZ"/>
        </w:rPr>
      </w:pPr>
    </w:p>
    <w:p w:rsidR="00FA5C04" w:rsidRPr="00FA5C04" w:rsidRDefault="00FA5C04" w:rsidP="00FA5C04">
      <w:pPr>
        <w:jc w:val="both"/>
        <w:rPr>
          <w:rFonts w:ascii="Arial" w:eastAsia="Times New Roman" w:hAnsi="Arial" w:cs="Arial"/>
          <w:i/>
          <w:iCs/>
          <w:highlight w:val="cyan"/>
          <w:lang w:eastAsia="cs-CZ"/>
        </w:rPr>
      </w:pPr>
      <w:r w:rsidRPr="00FA5C04">
        <w:rPr>
          <w:rFonts w:ascii="Arial" w:eastAsia="Times New Roman" w:hAnsi="Arial" w:cs="Arial"/>
          <w:i/>
          <w:iCs/>
          <w:highlight w:val="cyan"/>
          <w:lang w:eastAsia="cs-CZ"/>
        </w:rPr>
        <w:t>K bodu 2 uvádíme:</w:t>
      </w:r>
    </w:p>
    <w:p w:rsidR="00FA5C04" w:rsidRPr="00FA5C04" w:rsidRDefault="00FA5C04" w:rsidP="00FA5C04">
      <w:pPr>
        <w:jc w:val="both"/>
        <w:rPr>
          <w:rFonts w:ascii="Arial" w:eastAsia="Times New Roman" w:hAnsi="Arial" w:cs="Arial"/>
          <w:i/>
          <w:iCs/>
          <w:highlight w:val="cyan"/>
          <w:lang w:eastAsia="cs-CZ"/>
        </w:rPr>
      </w:pPr>
    </w:p>
    <w:p w:rsidR="00FA5C04" w:rsidRPr="00FA5C04" w:rsidRDefault="00FA5C04" w:rsidP="00FA5C04">
      <w:pPr>
        <w:jc w:val="both"/>
        <w:rPr>
          <w:rFonts w:ascii="Arial" w:eastAsia="Times New Roman" w:hAnsi="Arial" w:cs="Arial"/>
          <w:i/>
          <w:iCs/>
          <w:highlight w:val="cyan"/>
          <w:lang w:eastAsia="cs-CZ"/>
        </w:rPr>
      </w:pPr>
      <w:r w:rsidRPr="00FA5C04">
        <w:rPr>
          <w:rFonts w:ascii="Arial" w:eastAsia="Times New Roman" w:hAnsi="Arial" w:cs="Arial"/>
          <w:i/>
          <w:iCs/>
          <w:highlight w:val="cyan"/>
          <w:lang w:eastAsia="cs-CZ"/>
        </w:rPr>
        <w:t xml:space="preserve"> a) Vycházíme ze situace, která je popsána v příspěvku, tj. že Společnost převádí víceúčelový poukaz Zaměstnavateli, Zaměstnavatel jej následně převádí zaměstnanci a zaměstnanec čerpá poukaz u Partnera, který mu poskytuje stravovací službu a přiznává daň na výstupu. V daném případě je základem daně nominální hodnota stravenky, jelikož úplata, kterou za stravenku zaměstnanec uhradil, není poskytovateli plnění (Partnerovi) známa. </w:t>
      </w:r>
    </w:p>
    <w:p w:rsidR="00FA5C04" w:rsidRPr="00FA5C04" w:rsidRDefault="00FA5C04" w:rsidP="00FA5C04">
      <w:pPr>
        <w:jc w:val="both"/>
        <w:rPr>
          <w:rFonts w:ascii="Arial" w:eastAsia="Times New Roman" w:hAnsi="Arial" w:cs="Arial"/>
          <w:i/>
          <w:iCs/>
          <w:highlight w:val="cyan"/>
          <w:lang w:eastAsia="cs-CZ"/>
        </w:rPr>
      </w:pPr>
      <w:r w:rsidRPr="00FA5C04">
        <w:rPr>
          <w:rFonts w:ascii="Arial" w:eastAsia="Times New Roman" w:hAnsi="Arial" w:cs="Arial"/>
          <w:i/>
          <w:iCs/>
          <w:highlight w:val="cyan"/>
          <w:lang w:eastAsia="cs-CZ"/>
        </w:rPr>
        <w:t xml:space="preserve">b) Souhlas s návrhem. </w:t>
      </w:r>
    </w:p>
    <w:p w:rsidR="00FA5C04" w:rsidRPr="00FA5C04" w:rsidRDefault="00FA5C04" w:rsidP="00FA5C04">
      <w:pPr>
        <w:jc w:val="both"/>
        <w:rPr>
          <w:rFonts w:ascii="Arial" w:eastAsia="Times New Roman" w:hAnsi="Arial" w:cs="Arial"/>
          <w:i/>
          <w:iCs/>
          <w:highlight w:val="cyan"/>
          <w:lang w:eastAsia="cs-CZ"/>
        </w:rPr>
      </w:pPr>
      <w:r w:rsidRPr="00FA5C04">
        <w:rPr>
          <w:rFonts w:ascii="Arial" w:eastAsia="Times New Roman" w:hAnsi="Arial" w:cs="Arial"/>
          <w:i/>
          <w:iCs/>
          <w:highlight w:val="cyan"/>
          <w:lang w:eastAsia="cs-CZ"/>
        </w:rPr>
        <w:t xml:space="preserve">c) Souhlas s návrhem. </w:t>
      </w:r>
    </w:p>
    <w:p w:rsidR="00FA5C04" w:rsidRPr="00FA5C04" w:rsidRDefault="00FA5C04" w:rsidP="00FA5C04">
      <w:pPr>
        <w:jc w:val="both"/>
        <w:rPr>
          <w:rFonts w:ascii="Arial" w:eastAsia="Times New Roman" w:hAnsi="Arial" w:cs="Arial"/>
          <w:i/>
          <w:iCs/>
          <w:lang w:eastAsia="cs-CZ"/>
        </w:rPr>
      </w:pPr>
      <w:r w:rsidRPr="00FA5C04">
        <w:rPr>
          <w:rFonts w:ascii="Arial" w:eastAsia="Times New Roman" w:hAnsi="Arial" w:cs="Arial"/>
          <w:i/>
          <w:iCs/>
          <w:highlight w:val="cyan"/>
          <w:lang w:eastAsia="cs-CZ"/>
        </w:rPr>
        <w:t>d) Souhlas s návrhem.</w:t>
      </w:r>
    </w:p>
    <w:p w:rsidR="00995B45" w:rsidRPr="00ED50AE" w:rsidRDefault="00B20E3A" w:rsidP="006613F5">
      <w:pPr>
        <w:spacing w:before="100" w:beforeAutospacing="1" w:after="100" w:afterAutospacing="1"/>
        <w:jc w:val="both"/>
        <w:rPr>
          <w:rFonts w:ascii="Arial" w:eastAsia="Times New Roman" w:hAnsi="Arial" w:cs="Arial"/>
        </w:rPr>
      </w:pPr>
    </w:p>
    <w:sectPr w:rsidR="00995B45" w:rsidRPr="00ED50AE" w:rsidSect="00C51AC3">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E3A" w:rsidRDefault="00B20E3A" w:rsidP="00774775">
      <w:r>
        <w:separator/>
      </w:r>
    </w:p>
  </w:endnote>
  <w:endnote w:type="continuationSeparator" w:id="0">
    <w:p w:rsidR="00B20E3A" w:rsidRDefault="00B20E3A" w:rsidP="007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C3" w:rsidRDefault="00C51A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7F" w:rsidRPr="0057195C" w:rsidRDefault="00173F7F" w:rsidP="00173F7F">
    <w:pPr>
      <w:pStyle w:val="Zpat"/>
      <w:pBdr>
        <w:top w:val="single" w:sz="4" w:space="1" w:color="auto"/>
      </w:pBdr>
      <w:rPr>
        <w:sz w:val="20"/>
        <w:szCs w:val="20"/>
      </w:rPr>
    </w:pPr>
    <w:r w:rsidRPr="0057195C">
      <w:rPr>
        <w:sz w:val="20"/>
        <w:szCs w:val="20"/>
      </w:rPr>
      <w:t>Komora daňových poradců ČR</w:t>
    </w:r>
    <w:r w:rsidRPr="0057195C">
      <w:rPr>
        <w:sz w:val="20"/>
        <w:szCs w:val="20"/>
      </w:rPr>
      <w:tab/>
    </w:r>
    <w:r w:rsidRPr="0057195C">
      <w:rPr>
        <w:sz w:val="20"/>
        <w:szCs w:val="20"/>
      </w:rPr>
      <w:tab/>
      <w:t xml:space="preserve">Strana </w:t>
    </w:r>
    <w:r w:rsidRPr="0057195C">
      <w:rPr>
        <w:sz w:val="20"/>
        <w:szCs w:val="20"/>
      </w:rPr>
      <w:fldChar w:fldCharType="begin"/>
    </w:r>
    <w:r w:rsidRPr="0057195C">
      <w:rPr>
        <w:sz w:val="20"/>
        <w:szCs w:val="20"/>
      </w:rPr>
      <w:instrText xml:space="preserve"> PAGE </w:instrText>
    </w:r>
    <w:r w:rsidRPr="0057195C">
      <w:rPr>
        <w:sz w:val="20"/>
        <w:szCs w:val="20"/>
      </w:rPr>
      <w:fldChar w:fldCharType="separate"/>
    </w:r>
    <w:r>
      <w:rPr>
        <w:sz w:val="20"/>
        <w:szCs w:val="20"/>
      </w:rPr>
      <w:t>3</w:t>
    </w:r>
    <w:r w:rsidRPr="0057195C">
      <w:rPr>
        <w:sz w:val="20"/>
        <w:szCs w:val="20"/>
      </w:rPr>
      <w:fldChar w:fldCharType="end"/>
    </w:r>
    <w:r w:rsidRPr="0057195C">
      <w:rPr>
        <w:sz w:val="20"/>
        <w:szCs w:val="20"/>
      </w:rPr>
      <w:t xml:space="preserve">z </w:t>
    </w:r>
    <w:r>
      <w:rPr>
        <w:sz w:val="20"/>
        <w:szCs w:val="20"/>
      </w:rPr>
      <w:t>32</w:t>
    </w:r>
  </w:p>
  <w:p w:rsidR="00774775" w:rsidRDefault="0077477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C3" w:rsidRDefault="00C51A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E3A" w:rsidRDefault="00B20E3A" w:rsidP="00774775">
      <w:r>
        <w:separator/>
      </w:r>
    </w:p>
  </w:footnote>
  <w:footnote w:type="continuationSeparator" w:id="0">
    <w:p w:rsidR="00B20E3A" w:rsidRDefault="00B20E3A" w:rsidP="0077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C3" w:rsidRDefault="00C51A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75" w:rsidRPr="0057195C" w:rsidRDefault="00774775" w:rsidP="00774775">
    <w:pPr>
      <w:pStyle w:val="Zhlav"/>
      <w:pBdr>
        <w:bottom w:val="single" w:sz="4" w:space="1" w:color="auto"/>
      </w:pBdr>
      <w:rPr>
        <w:sz w:val="20"/>
        <w:szCs w:val="20"/>
      </w:rPr>
    </w:pPr>
    <w:r>
      <w:rPr>
        <w:sz w:val="20"/>
        <w:szCs w:val="20"/>
      </w:rPr>
      <w:t>15.05.2019</w:t>
    </w:r>
    <w:r>
      <w:rPr>
        <w:sz w:val="20"/>
        <w:szCs w:val="20"/>
      </w:rPr>
      <w:tab/>
    </w:r>
    <w:r>
      <w:rPr>
        <w:sz w:val="20"/>
        <w:szCs w:val="20"/>
      </w:rPr>
      <w:tab/>
      <w:t xml:space="preserve">Koordinační </w:t>
    </w:r>
    <w:proofErr w:type="gramStart"/>
    <w:r>
      <w:rPr>
        <w:sz w:val="20"/>
        <w:szCs w:val="20"/>
      </w:rPr>
      <w:t>výbor  05</w:t>
    </w:r>
    <w:proofErr w:type="gramEnd"/>
    <w:r w:rsidRPr="0057195C">
      <w:rPr>
        <w:sz w:val="20"/>
        <w:szCs w:val="20"/>
      </w:rPr>
      <w:t>/1</w:t>
    </w:r>
    <w:r>
      <w:rPr>
        <w:sz w:val="20"/>
        <w:szCs w:val="20"/>
      </w:rPr>
      <w:t>9</w:t>
    </w:r>
  </w:p>
  <w:p w:rsidR="00774775" w:rsidRPr="00774775" w:rsidRDefault="00774775" w:rsidP="007747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C3" w:rsidRDefault="00C51A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D30"/>
    <w:multiLevelType w:val="hybridMultilevel"/>
    <w:tmpl w:val="4D6E03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A24C62"/>
    <w:multiLevelType w:val="multilevel"/>
    <w:tmpl w:val="973C73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AE"/>
    <w:rsid w:val="00075188"/>
    <w:rsid w:val="00150E27"/>
    <w:rsid w:val="00173F7F"/>
    <w:rsid w:val="00340C68"/>
    <w:rsid w:val="004F1CB5"/>
    <w:rsid w:val="006613F5"/>
    <w:rsid w:val="0069518C"/>
    <w:rsid w:val="00743430"/>
    <w:rsid w:val="00774775"/>
    <w:rsid w:val="0088458E"/>
    <w:rsid w:val="00985AAB"/>
    <w:rsid w:val="009D0C99"/>
    <w:rsid w:val="009D22E4"/>
    <w:rsid w:val="00B20E3A"/>
    <w:rsid w:val="00B34F47"/>
    <w:rsid w:val="00BA438A"/>
    <w:rsid w:val="00C27EE3"/>
    <w:rsid w:val="00C51AC3"/>
    <w:rsid w:val="00E15CD9"/>
    <w:rsid w:val="00EA0EA8"/>
    <w:rsid w:val="00EC5AA9"/>
    <w:rsid w:val="00ED50AE"/>
    <w:rsid w:val="00F441A2"/>
    <w:rsid w:val="00FA5C04"/>
    <w:rsid w:val="00FF0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9A924E-4F86-8A41-8AB7-E20EA1A1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50AE"/>
    <w:pPr>
      <w:spacing w:before="100" w:beforeAutospacing="1" w:after="100" w:afterAutospacing="1"/>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ED50AE"/>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D50AE"/>
    <w:rPr>
      <w:rFonts w:ascii="Times New Roman" w:hAnsi="Times New Roman" w:cs="Times New Roman"/>
      <w:sz w:val="18"/>
      <w:szCs w:val="18"/>
    </w:rPr>
  </w:style>
  <w:style w:type="paragraph" w:styleId="Zkladntext">
    <w:name w:val="Body Text"/>
    <w:basedOn w:val="Normln"/>
    <w:link w:val="ZkladntextChar"/>
    <w:rsid w:val="00ED50AE"/>
    <w:pPr>
      <w:spacing w:after="120"/>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ED50AE"/>
    <w:rPr>
      <w:rFonts w:ascii="Times New Roman" w:eastAsia="Times New Roman" w:hAnsi="Times New Roman" w:cs="Times New Roman"/>
      <w:lang w:eastAsia="cs-CZ"/>
    </w:rPr>
  </w:style>
  <w:style w:type="paragraph" w:styleId="Zhlav">
    <w:name w:val="header"/>
    <w:basedOn w:val="Normln"/>
    <w:link w:val="ZhlavChar"/>
    <w:uiPriority w:val="99"/>
    <w:unhideWhenUsed/>
    <w:rsid w:val="00774775"/>
    <w:pPr>
      <w:tabs>
        <w:tab w:val="center" w:pos="4536"/>
        <w:tab w:val="right" w:pos="9072"/>
      </w:tabs>
    </w:pPr>
  </w:style>
  <w:style w:type="character" w:customStyle="1" w:styleId="ZhlavChar">
    <w:name w:val="Záhlaví Char"/>
    <w:basedOn w:val="Standardnpsmoodstavce"/>
    <w:link w:val="Zhlav"/>
    <w:uiPriority w:val="99"/>
    <w:rsid w:val="00774775"/>
  </w:style>
  <w:style w:type="paragraph" w:styleId="Zpat">
    <w:name w:val="footer"/>
    <w:basedOn w:val="Normln"/>
    <w:link w:val="ZpatChar"/>
    <w:uiPriority w:val="99"/>
    <w:unhideWhenUsed/>
    <w:rsid w:val="00774775"/>
    <w:pPr>
      <w:tabs>
        <w:tab w:val="center" w:pos="4536"/>
        <w:tab w:val="right" w:pos="9072"/>
      </w:tabs>
    </w:pPr>
  </w:style>
  <w:style w:type="character" w:customStyle="1" w:styleId="ZpatChar">
    <w:name w:val="Zápatí Char"/>
    <w:basedOn w:val="Standardnpsmoodstavce"/>
    <w:link w:val="Zpat"/>
    <w:uiPriority w:val="99"/>
    <w:rsid w:val="00774775"/>
  </w:style>
  <w:style w:type="paragraph" w:styleId="Odstavecseseznamem">
    <w:name w:val="List Paragraph"/>
    <w:basedOn w:val="Normln"/>
    <w:uiPriority w:val="34"/>
    <w:qFormat/>
    <w:rsid w:val="0066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609">
      <w:bodyDiv w:val="1"/>
      <w:marLeft w:val="0"/>
      <w:marRight w:val="0"/>
      <w:marTop w:val="0"/>
      <w:marBottom w:val="0"/>
      <w:divBdr>
        <w:top w:val="none" w:sz="0" w:space="0" w:color="auto"/>
        <w:left w:val="none" w:sz="0" w:space="0" w:color="auto"/>
        <w:bottom w:val="none" w:sz="0" w:space="0" w:color="auto"/>
        <w:right w:val="none" w:sz="0" w:space="0" w:color="auto"/>
      </w:divBdr>
    </w:div>
    <w:div w:id="42142734">
      <w:bodyDiv w:val="1"/>
      <w:marLeft w:val="0"/>
      <w:marRight w:val="0"/>
      <w:marTop w:val="0"/>
      <w:marBottom w:val="0"/>
      <w:divBdr>
        <w:top w:val="none" w:sz="0" w:space="0" w:color="auto"/>
        <w:left w:val="none" w:sz="0" w:space="0" w:color="auto"/>
        <w:bottom w:val="none" w:sz="0" w:space="0" w:color="auto"/>
        <w:right w:val="none" w:sz="0" w:space="0" w:color="auto"/>
      </w:divBdr>
    </w:div>
    <w:div w:id="49428925">
      <w:bodyDiv w:val="1"/>
      <w:marLeft w:val="0"/>
      <w:marRight w:val="0"/>
      <w:marTop w:val="0"/>
      <w:marBottom w:val="0"/>
      <w:divBdr>
        <w:top w:val="none" w:sz="0" w:space="0" w:color="auto"/>
        <w:left w:val="none" w:sz="0" w:space="0" w:color="auto"/>
        <w:bottom w:val="none" w:sz="0" w:space="0" w:color="auto"/>
        <w:right w:val="none" w:sz="0" w:space="0" w:color="auto"/>
      </w:divBdr>
    </w:div>
    <w:div w:id="67263877">
      <w:bodyDiv w:val="1"/>
      <w:marLeft w:val="0"/>
      <w:marRight w:val="0"/>
      <w:marTop w:val="0"/>
      <w:marBottom w:val="0"/>
      <w:divBdr>
        <w:top w:val="none" w:sz="0" w:space="0" w:color="auto"/>
        <w:left w:val="none" w:sz="0" w:space="0" w:color="auto"/>
        <w:bottom w:val="none" w:sz="0" w:space="0" w:color="auto"/>
        <w:right w:val="none" w:sz="0" w:space="0" w:color="auto"/>
      </w:divBdr>
    </w:div>
    <w:div w:id="196285340">
      <w:bodyDiv w:val="1"/>
      <w:marLeft w:val="0"/>
      <w:marRight w:val="0"/>
      <w:marTop w:val="0"/>
      <w:marBottom w:val="0"/>
      <w:divBdr>
        <w:top w:val="none" w:sz="0" w:space="0" w:color="auto"/>
        <w:left w:val="none" w:sz="0" w:space="0" w:color="auto"/>
        <w:bottom w:val="none" w:sz="0" w:space="0" w:color="auto"/>
        <w:right w:val="none" w:sz="0" w:space="0" w:color="auto"/>
      </w:divBdr>
      <w:divsChild>
        <w:div w:id="304049817">
          <w:marLeft w:val="0"/>
          <w:marRight w:val="0"/>
          <w:marTop w:val="0"/>
          <w:marBottom w:val="0"/>
          <w:divBdr>
            <w:top w:val="none" w:sz="0" w:space="0" w:color="auto"/>
            <w:left w:val="none" w:sz="0" w:space="0" w:color="auto"/>
            <w:bottom w:val="none" w:sz="0" w:space="0" w:color="auto"/>
            <w:right w:val="none" w:sz="0" w:space="0" w:color="auto"/>
          </w:divBdr>
          <w:divsChild>
            <w:div w:id="1249845257">
              <w:marLeft w:val="0"/>
              <w:marRight w:val="0"/>
              <w:marTop w:val="0"/>
              <w:marBottom w:val="0"/>
              <w:divBdr>
                <w:top w:val="none" w:sz="0" w:space="0" w:color="auto"/>
                <w:left w:val="none" w:sz="0" w:space="0" w:color="auto"/>
                <w:bottom w:val="none" w:sz="0" w:space="0" w:color="auto"/>
                <w:right w:val="none" w:sz="0" w:space="0" w:color="auto"/>
              </w:divBdr>
              <w:divsChild>
                <w:div w:id="9449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2321">
      <w:bodyDiv w:val="1"/>
      <w:marLeft w:val="0"/>
      <w:marRight w:val="0"/>
      <w:marTop w:val="0"/>
      <w:marBottom w:val="0"/>
      <w:divBdr>
        <w:top w:val="none" w:sz="0" w:space="0" w:color="auto"/>
        <w:left w:val="none" w:sz="0" w:space="0" w:color="auto"/>
        <w:bottom w:val="none" w:sz="0" w:space="0" w:color="auto"/>
        <w:right w:val="none" w:sz="0" w:space="0" w:color="auto"/>
      </w:divBdr>
    </w:div>
    <w:div w:id="321856649">
      <w:bodyDiv w:val="1"/>
      <w:marLeft w:val="0"/>
      <w:marRight w:val="0"/>
      <w:marTop w:val="0"/>
      <w:marBottom w:val="0"/>
      <w:divBdr>
        <w:top w:val="none" w:sz="0" w:space="0" w:color="auto"/>
        <w:left w:val="none" w:sz="0" w:space="0" w:color="auto"/>
        <w:bottom w:val="none" w:sz="0" w:space="0" w:color="auto"/>
        <w:right w:val="none" w:sz="0" w:space="0" w:color="auto"/>
      </w:divBdr>
      <w:divsChild>
        <w:div w:id="156576167">
          <w:marLeft w:val="0"/>
          <w:marRight w:val="0"/>
          <w:marTop w:val="0"/>
          <w:marBottom w:val="0"/>
          <w:divBdr>
            <w:top w:val="none" w:sz="0" w:space="0" w:color="auto"/>
            <w:left w:val="none" w:sz="0" w:space="0" w:color="auto"/>
            <w:bottom w:val="none" w:sz="0" w:space="0" w:color="auto"/>
            <w:right w:val="none" w:sz="0" w:space="0" w:color="auto"/>
          </w:divBdr>
          <w:divsChild>
            <w:div w:id="2109619128">
              <w:marLeft w:val="0"/>
              <w:marRight w:val="0"/>
              <w:marTop w:val="0"/>
              <w:marBottom w:val="0"/>
              <w:divBdr>
                <w:top w:val="none" w:sz="0" w:space="0" w:color="auto"/>
                <w:left w:val="none" w:sz="0" w:space="0" w:color="auto"/>
                <w:bottom w:val="none" w:sz="0" w:space="0" w:color="auto"/>
                <w:right w:val="none" w:sz="0" w:space="0" w:color="auto"/>
              </w:divBdr>
              <w:divsChild>
                <w:div w:id="1033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8598">
      <w:bodyDiv w:val="1"/>
      <w:marLeft w:val="0"/>
      <w:marRight w:val="0"/>
      <w:marTop w:val="0"/>
      <w:marBottom w:val="0"/>
      <w:divBdr>
        <w:top w:val="none" w:sz="0" w:space="0" w:color="auto"/>
        <w:left w:val="none" w:sz="0" w:space="0" w:color="auto"/>
        <w:bottom w:val="none" w:sz="0" w:space="0" w:color="auto"/>
        <w:right w:val="none" w:sz="0" w:space="0" w:color="auto"/>
      </w:divBdr>
    </w:div>
    <w:div w:id="372274846">
      <w:bodyDiv w:val="1"/>
      <w:marLeft w:val="0"/>
      <w:marRight w:val="0"/>
      <w:marTop w:val="0"/>
      <w:marBottom w:val="0"/>
      <w:divBdr>
        <w:top w:val="none" w:sz="0" w:space="0" w:color="auto"/>
        <w:left w:val="none" w:sz="0" w:space="0" w:color="auto"/>
        <w:bottom w:val="none" w:sz="0" w:space="0" w:color="auto"/>
        <w:right w:val="none" w:sz="0" w:space="0" w:color="auto"/>
      </w:divBdr>
    </w:div>
    <w:div w:id="409543657">
      <w:bodyDiv w:val="1"/>
      <w:marLeft w:val="0"/>
      <w:marRight w:val="0"/>
      <w:marTop w:val="0"/>
      <w:marBottom w:val="0"/>
      <w:divBdr>
        <w:top w:val="none" w:sz="0" w:space="0" w:color="auto"/>
        <w:left w:val="none" w:sz="0" w:space="0" w:color="auto"/>
        <w:bottom w:val="none" w:sz="0" w:space="0" w:color="auto"/>
        <w:right w:val="none" w:sz="0" w:space="0" w:color="auto"/>
      </w:divBdr>
    </w:div>
    <w:div w:id="419955520">
      <w:bodyDiv w:val="1"/>
      <w:marLeft w:val="0"/>
      <w:marRight w:val="0"/>
      <w:marTop w:val="0"/>
      <w:marBottom w:val="0"/>
      <w:divBdr>
        <w:top w:val="none" w:sz="0" w:space="0" w:color="auto"/>
        <w:left w:val="none" w:sz="0" w:space="0" w:color="auto"/>
        <w:bottom w:val="none" w:sz="0" w:space="0" w:color="auto"/>
        <w:right w:val="none" w:sz="0" w:space="0" w:color="auto"/>
      </w:divBdr>
      <w:divsChild>
        <w:div w:id="1001813057">
          <w:marLeft w:val="0"/>
          <w:marRight w:val="0"/>
          <w:marTop w:val="0"/>
          <w:marBottom w:val="0"/>
          <w:divBdr>
            <w:top w:val="none" w:sz="0" w:space="0" w:color="auto"/>
            <w:left w:val="none" w:sz="0" w:space="0" w:color="auto"/>
            <w:bottom w:val="none" w:sz="0" w:space="0" w:color="auto"/>
            <w:right w:val="none" w:sz="0" w:space="0" w:color="auto"/>
          </w:divBdr>
          <w:divsChild>
            <w:div w:id="276105738">
              <w:marLeft w:val="0"/>
              <w:marRight w:val="0"/>
              <w:marTop w:val="0"/>
              <w:marBottom w:val="0"/>
              <w:divBdr>
                <w:top w:val="none" w:sz="0" w:space="0" w:color="auto"/>
                <w:left w:val="none" w:sz="0" w:space="0" w:color="auto"/>
                <w:bottom w:val="none" w:sz="0" w:space="0" w:color="auto"/>
                <w:right w:val="none" w:sz="0" w:space="0" w:color="auto"/>
              </w:divBdr>
              <w:divsChild>
                <w:div w:id="692802776">
                  <w:marLeft w:val="0"/>
                  <w:marRight w:val="0"/>
                  <w:marTop w:val="0"/>
                  <w:marBottom w:val="0"/>
                  <w:divBdr>
                    <w:top w:val="none" w:sz="0" w:space="0" w:color="auto"/>
                    <w:left w:val="none" w:sz="0" w:space="0" w:color="auto"/>
                    <w:bottom w:val="none" w:sz="0" w:space="0" w:color="auto"/>
                    <w:right w:val="none" w:sz="0" w:space="0" w:color="auto"/>
                  </w:divBdr>
                </w:div>
              </w:divsChild>
            </w:div>
            <w:div w:id="1340304450">
              <w:marLeft w:val="0"/>
              <w:marRight w:val="0"/>
              <w:marTop w:val="0"/>
              <w:marBottom w:val="0"/>
              <w:divBdr>
                <w:top w:val="none" w:sz="0" w:space="0" w:color="auto"/>
                <w:left w:val="none" w:sz="0" w:space="0" w:color="auto"/>
                <w:bottom w:val="none" w:sz="0" w:space="0" w:color="auto"/>
                <w:right w:val="none" w:sz="0" w:space="0" w:color="auto"/>
              </w:divBdr>
              <w:divsChild>
                <w:div w:id="519976826">
                  <w:marLeft w:val="0"/>
                  <w:marRight w:val="0"/>
                  <w:marTop w:val="0"/>
                  <w:marBottom w:val="0"/>
                  <w:divBdr>
                    <w:top w:val="none" w:sz="0" w:space="0" w:color="auto"/>
                    <w:left w:val="none" w:sz="0" w:space="0" w:color="auto"/>
                    <w:bottom w:val="none" w:sz="0" w:space="0" w:color="auto"/>
                    <w:right w:val="none" w:sz="0" w:space="0" w:color="auto"/>
                  </w:divBdr>
                </w:div>
                <w:div w:id="1703434341">
                  <w:marLeft w:val="0"/>
                  <w:marRight w:val="0"/>
                  <w:marTop w:val="0"/>
                  <w:marBottom w:val="0"/>
                  <w:divBdr>
                    <w:top w:val="none" w:sz="0" w:space="0" w:color="auto"/>
                    <w:left w:val="none" w:sz="0" w:space="0" w:color="auto"/>
                    <w:bottom w:val="none" w:sz="0" w:space="0" w:color="auto"/>
                    <w:right w:val="none" w:sz="0" w:space="0" w:color="auto"/>
                  </w:divBdr>
                </w:div>
              </w:divsChild>
            </w:div>
            <w:div w:id="674572419">
              <w:marLeft w:val="0"/>
              <w:marRight w:val="0"/>
              <w:marTop w:val="0"/>
              <w:marBottom w:val="0"/>
              <w:divBdr>
                <w:top w:val="none" w:sz="0" w:space="0" w:color="auto"/>
                <w:left w:val="none" w:sz="0" w:space="0" w:color="auto"/>
                <w:bottom w:val="none" w:sz="0" w:space="0" w:color="auto"/>
                <w:right w:val="none" w:sz="0" w:space="0" w:color="auto"/>
              </w:divBdr>
              <w:divsChild>
                <w:div w:id="9054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571">
      <w:bodyDiv w:val="1"/>
      <w:marLeft w:val="0"/>
      <w:marRight w:val="0"/>
      <w:marTop w:val="0"/>
      <w:marBottom w:val="0"/>
      <w:divBdr>
        <w:top w:val="none" w:sz="0" w:space="0" w:color="auto"/>
        <w:left w:val="none" w:sz="0" w:space="0" w:color="auto"/>
        <w:bottom w:val="none" w:sz="0" w:space="0" w:color="auto"/>
        <w:right w:val="none" w:sz="0" w:space="0" w:color="auto"/>
      </w:divBdr>
    </w:div>
    <w:div w:id="475995666">
      <w:bodyDiv w:val="1"/>
      <w:marLeft w:val="0"/>
      <w:marRight w:val="0"/>
      <w:marTop w:val="0"/>
      <w:marBottom w:val="0"/>
      <w:divBdr>
        <w:top w:val="none" w:sz="0" w:space="0" w:color="auto"/>
        <w:left w:val="none" w:sz="0" w:space="0" w:color="auto"/>
        <w:bottom w:val="none" w:sz="0" w:space="0" w:color="auto"/>
        <w:right w:val="none" w:sz="0" w:space="0" w:color="auto"/>
      </w:divBdr>
    </w:div>
    <w:div w:id="637539432">
      <w:bodyDiv w:val="1"/>
      <w:marLeft w:val="0"/>
      <w:marRight w:val="0"/>
      <w:marTop w:val="0"/>
      <w:marBottom w:val="0"/>
      <w:divBdr>
        <w:top w:val="none" w:sz="0" w:space="0" w:color="auto"/>
        <w:left w:val="none" w:sz="0" w:space="0" w:color="auto"/>
        <w:bottom w:val="none" w:sz="0" w:space="0" w:color="auto"/>
        <w:right w:val="none" w:sz="0" w:space="0" w:color="auto"/>
      </w:divBdr>
    </w:div>
    <w:div w:id="734815409">
      <w:bodyDiv w:val="1"/>
      <w:marLeft w:val="0"/>
      <w:marRight w:val="0"/>
      <w:marTop w:val="0"/>
      <w:marBottom w:val="0"/>
      <w:divBdr>
        <w:top w:val="none" w:sz="0" w:space="0" w:color="auto"/>
        <w:left w:val="none" w:sz="0" w:space="0" w:color="auto"/>
        <w:bottom w:val="none" w:sz="0" w:space="0" w:color="auto"/>
        <w:right w:val="none" w:sz="0" w:space="0" w:color="auto"/>
      </w:divBdr>
    </w:div>
    <w:div w:id="765148641">
      <w:bodyDiv w:val="1"/>
      <w:marLeft w:val="0"/>
      <w:marRight w:val="0"/>
      <w:marTop w:val="0"/>
      <w:marBottom w:val="0"/>
      <w:divBdr>
        <w:top w:val="none" w:sz="0" w:space="0" w:color="auto"/>
        <w:left w:val="none" w:sz="0" w:space="0" w:color="auto"/>
        <w:bottom w:val="none" w:sz="0" w:space="0" w:color="auto"/>
        <w:right w:val="none" w:sz="0" w:space="0" w:color="auto"/>
      </w:divBdr>
    </w:div>
    <w:div w:id="838546803">
      <w:bodyDiv w:val="1"/>
      <w:marLeft w:val="0"/>
      <w:marRight w:val="0"/>
      <w:marTop w:val="0"/>
      <w:marBottom w:val="0"/>
      <w:divBdr>
        <w:top w:val="none" w:sz="0" w:space="0" w:color="auto"/>
        <w:left w:val="none" w:sz="0" w:space="0" w:color="auto"/>
        <w:bottom w:val="none" w:sz="0" w:space="0" w:color="auto"/>
        <w:right w:val="none" w:sz="0" w:space="0" w:color="auto"/>
      </w:divBdr>
    </w:div>
    <w:div w:id="897017453">
      <w:bodyDiv w:val="1"/>
      <w:marLeft w:val="0"/>
      <w:marRight w:val="0"/>
      <w:marTop w:val="0"/>
      <w:marBottom w:val="0"/>
      <w:divBdr>
        <w:top w:val="none" w:sz="0" w:space="0" w:color="auto"/>
        <w:left w:val="none" w:sz="0" w:space="0" w:color="auto"/>
        <w:bottom w:val="none" w:sz="0" w:space="0" w:color="auto"/>
        <w:right w:val="none" w:sz="0" w:space="0" w:color="auto"/>
      </w:divBdr>
    </w:div>
    <w:div w:id="917053562">
      <w:bodyDiv w:val="1"/>
      <w:marLeft w:val="0"/>
      <w:marRight w:val="0"/>
      <w:marTop w:val="0"/>
      <w:marBottom w:val="0"/>
      <w:divBdr>
        <w:top w:val="none" w:sz="0" w:space="0" w:color="auto"/>
        <w:left w:val="none" w:sz="0" w:space="0" w:color="auto"/>
        <w:bottom w:val="none" w:sz="0" w:space="0" w:color="auto"/>
        <w:right w:val="none" w:sz="0" w:space="0" w:color="auto"/>
      </w:divBdr>
    </w:div>
    <w:div w:id="934244880">
      <w:bodyDiv w:val="1"/>
      <w:marLeft w:val="0"/>
      <w:marRight w:val="0"/>
      <w:marTop w:val="0"/>
      <w:marBottom w:val="0"/>
      <w:divBdr>
        <w:top w:val="none" w:sz="0" w:space="0" w:color="auto"/>
        <w:left w:val="none" w:sz="0" w:space="0" w:color="auto"/>
        <w:bottom w:val="none" w:sz="0" w:space="0" w:color="auto"/>
        <w:right w:val="none" w:sz="0" w:space="0" w:color="auto"/>
      </w:divBdr>
    </w:div>
    <w:div w:id="994145383">
      <w:bodyDiv w:val="1"/>
      <w:marLeft w:val="0"/>
      <w:marRight w:val="0"/>
      <w:marTop w:val="0"/>
      <w:marBottom w:val="0"/>
      <w:divBdr>
        <w:top w:val="none" w:sz="0" w:space="0" w:color="auto"/>
        <w:left w:val="none" w:sz="0" w:space="0" w:color="auto"/>
        <w:bottom w:val="none" w:sz="0" w:space="0" w:color="auto"/>
        <w:right w:val="none" w:sz="0" w:space="0" w:color="auto"/>
      </w:divBdr>
    </w:div>
    <w:div w:id="1013073083">
      <w:bodyDiv w:val="1"/>
      <w:marLeft w:val="0"/>
      <w:marRight w:val="0"/>
      <w:marTop w:val="0"/>
      <w:marBottom w:val="0"/>
      <w:divBdr>
        <w:top w:val="none" w:sz="0" w:space="0" w:color="auto"/>
        <w:left w:val="none" w:sz="0" w:space="0" w:color="auto"/>
        <w:bottom w:val="none" w:sz="0" w:space="0" w:color="auto"/>
        <w:right w:val="none" w:sz="0" w:space="0" w:color="auto"/>
      </w:divBdr>
    </w:div>
    <w:div w:id="1020279826">
      <w:bodyDiv w:val="1"/>
      <w:marLeft w:val="0"/>
      <w:marRight w:val="0"/>
      <w:marTop w:val="0"/>
      <w:marBottom w:val="0"/>
      <w:divBdr>
        <w:top w:val="none" w:sz="0" w:space="0" w:color="auto"/>
        <w:left w:val="none" w:sz="0" w:space="0" w:color="auto"/>
        <w:bottom w:val="none" w:sz="0" w:space="0" w:color="auto"/>
        <w:right w:val="none" w:sz="0" w:space="0" w:color="auto"/>
      </w:divBdr>
    </w:div>
    <w:div w:id="1073814012">
      <w:bodyDiv w:val="1"/>
      <w:marLeft w:val="0"/>
      <w:marRight w:val="0"/>
      <w:marTop w:val="0"/>
      <w:marBottom w:val="0"/>
      <w:divBdr>
        <w:top w:val="none" w:sz="0" w:space="0" w:color="auto"/>
        <w:left w:val="none" w:sz="0" w:space="0" w:color="auto"/>
        <w:bottom w:val="none" w:sz="0" w:space="0" w:color="auto"/>
        <w:right w:val="none" w:sz="0" w:space="0" w:color="auto"/>
      </w:divBdr>
    </w:div>
    <w:div w:id="1119688192">
      <w:bodyDiv w:val="1"/>
      <w:marLeft w:val="0"/>
      <w:marRight w:val="0"/>
      <w:marTop w:val="0"/>
      <w:marBottom w:val="0"/>
      <w:divBdr>
        <w:top w:val="none" w:sz="0" w:space="0" w:color="auto"/>
        <w:left w:val="none" w:sz="0" w:space="0" w:color="auto"/>
        <w:bottom w:val="none" w:sz="0" w:space="0" w:color="auto"/>
        <w:right w:val="none" w:sz="0" w:space="0" w:color="auto"/>
      </w:divBdr>
    </w:div>
    <w:div w:id="1252275332">
      <w:bodyDiv w:val="1"/>
      <w:marLeft w:val="0"/>
      <w:marRight w:val="0"/>
      <w:marTop w:val="0"/>
      <w:marBottom w:val="0"/>
      <w:divBdr>
        <w:top w:val="none" w:sz="0" w:space="0" w:color="auto"/>
        <w:left w:val="none" w:sz="0" w:space="0" w:color="auto"/>
        <w:bottom w:val="none" w:sz="0" w:space="0" w:color="auto"/>
        <w:right w:val="none" w:sz="0" w:space="0" w:color="auto"/>
      </w:divBdr>
    </w:div>
    <w:div w:id="1318999086">
      <w:bodyDiv w:val="1"/>
      <w:marLeft w:val="0"/>
      <w:marRight w:val="0"/>
      <w:marTop w:val="0"/>
      <w:marBottom w:val="0"/>
      <w:divBdr>
        <w:top w:val="none" w:sz="0" w:space="0" w:color="auto"/>
        <w:left w:val="none" w:sz="0" w:space="0" w:color="auto"/>
        <w:bottom w:val="none" w:sz="0" w:space="0" w:color="auto"/>
        <w:right w:val="none" w:sz="0" w:space="0" w:color="auto"/>
      </w:divBdr>
    </w:div>
    <w:div w:id="1375039749">
      <w:bodyDiv w:val="1"/>
      <w:marLeft w:val="0"/>
      <w:marRight w:val="0"/>
      <w:marTop w:val="0"/>
      <w:marBottom w:val="0"/>
      <w:divBdr>
        <w:top w:val="none" w:sz="0" w:space="0" w:color="auto"/>
        <w:left w:val="none" w:sz="0" w:space="0" w:color="auto"/>
        <w:bottom w:val="none" w:sz="0" w:space="0" w:color="auto"/>
        <w:right w:val="none" w:sz="0" w:space="0" w:color="auto"/>
      </w:divBdr>
      <w:divsChild>
        <w:div w:id="1851600691">
          <w:marLeft w:val="0"/>
          <w:marRight w:val="0"/>
          <w:marTop w:val="0"/>
          <w:marBottom w:val="0"/>
          <w:divBdr>
            <w:top w:val="none" w:sz="0" w:space="0" w:color="auto"/>
            <w:left w:val="none" w:sz="0" w:space="0" w:color="auto"/>
            <w:bottom w:val="none" w:sz="0" w:space="0" w:color="auto"/>
            <w:right w:val="none" w:sz="0" w:space="0" w:color="auto"/>
          </w:divBdr>
          <w:divsChild>
            <w:div w:id="1578435786">
              <w:marLeft w:val="0"/>
              <w:marRight w:val="0"/>
              <w:marTop w:val="0"/>
              <w:marBottom w:val="0"/>
              <w:divBdr>
                <w:top w:val="none" w:sz="0" w:space="0" w:color="auto"/>
                <w:left w:val="none" w:sz="0" w:space="0" w:color="auto"/>
                <w:bottom w:val="none" w:sz="0" w:space="0" w:color="auto"/>
                <w:right w:val="none" w:sz="0" w:space="0" w:color="auto"/>
              </w:divBdr>
              <w:divsChild>
                <w:div w:id="447551228">
                  <w:marLeft w:val="0"/>
                  <w:marRight w:val="0"/>
                  <w:marTop w:val="0"/>
                  <w:marBottom w:val="0"/>
                  <w:divBdr>
                    <w:top w:val="none" w:sz="0" w:space="0" w:color="auto"/>
                    <w:left w:val="none" w:sz="0" w:space="0" w:color="auto"/>
                    <w:bottom w:val="none" w:sz="0" w:space="0" w:color="auto"/>
                    <w:right w:val="none" w:sz="0" w:space="0" w:color="auto"/>
                  </w:divBdr>
                </w:div>
              </w:divsChild>
            </w:div>
            <w:div w:id="454519986">
              <w:marLeft w:val="0"/>
              <w:marRight w:val="0"/>
              <w:marTop w:val="0"/>
              <w:marBottom w:val="0"/>
              <w:divBdr>
                <w:top w:val="none" w:sz="0" w:space="0" w:color="auto"/>
                <w:left w:val="none" w:sz="0" w:space="0" w:color="auto"/>
                <w:bottom w:val="none" w:sz="0" w:space="0" w:color="auto"/>
                <w:right w:val="none" w:sz="0" w:space="0" w:color="auto"/>
              </w:divBdr>
              <w:divsChild>
                <w:div w:id="1419716568">
                  <w:marLeft w:val="0"/>
                  <w:marRight w:val="0"/>
                  <w:marTop w:val="0"/>
                  <w:marBottom w:val="0"/>
                  <w:divBdr>
                    <w:top w:val="none" w:sz="0" w:space="0" w:color="auto"/>
                    <w:left w:val="none" w:sz="0" w:space="0" w:color="auto"/>
                    <w:bottom w:val="none" w:sz="0" w:space="0" w:color="auto"/>
                    <w:right w:val="none" w:sz="0" w:space="0" w:color="auto"/>
                  </w:divBdr>
                </w:div>
              </w:divsChild>
            </w:div>
            <w:div w:id="1351294988">
              <w:marLeft w:val="0"/>
              <w:marRight w:val="0"/>
              <w:marTop w:val="0"/>
              <w:marBottom w:val="0"/>
              <w:divBdr>
                <w:top w:val="none" w:sz="0" w:space="0" w:color="auto"/>
                <w:left w:val="none" w:sz="0" w:space="0" w:color="auto"/>
                <w:bottom w:val="none" w:sz="0" w:space="0" w:color="auto"/>
                <w:right w:val="none" w:sz="0" w:space="0" w:color="auto"/>
              </w:divBdr>
              <w:divsChild>
                <w:div w:id="421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9597">
      <w:bodyDiv w:val="1"/>
      <w:marLeft w:val="0"/>
      <w:marRight w:val="0"/>
      <w:marTop w:val="0"/>
      <w:marBottom w:val="0"/>
      <w:divBdr>
        <w:top w:val="none" w:sz="0" w:space="0" w:color="auto"/>
        <w:left w:val="none" w:sz="0" w:space="0" w:color="auto"/>
        <w:bottom w:val="none" w:sz="0" w:space="0" w:color="auto"/>
        <w:right w:val="none" w:sz="0" w:space="0" w:color="auto"/>
      </w:divBdr>
    </w:div>
    <w:div w:id="1412777913">
      <w:bodyDiv w:val="1"/>
      <w:marLeft w:val="0"/>
      <w:marRight w:val="0"/>
      <w:marTop w:val="0"/>
      <w:marBottom w:val="0"/>
      <w:divBdr>
        <w:top w:val="none" w:sz="0" w:space="0" w:color="auto"/>
        <w:left w:val="none" w:sz="0" w:space="0" w:color="auto"/>
        <w:bottom w:val="none" w:sz="0" w:space="0" w:color="auto"/>
        <w:right w:val="none" w:sz="0" w:space="0" w:color="auto"/>
      </w:divBdr>
      <w:divsChild>
        <w:div w:id="1465780654">
          <w:marLeft w:val="0"/>
          <w:marRight w:val="0"/>
          <w:marTop w:val="0"/>
          <w:marBottom w:val="0"/>
          <w:divBdr>
            <w:top w:val="none" w:sz="0" w:space="0" w:color="auto"/>
            <w:left w:val="none" w:sz="0" w:space="0" w:color="auto"/>
            <w:bottom w:val="none" w:sz="0" w:space="0" w:color="auto"/>
            <w:right w:val="none" w:sz="0" w:space="0" w:color="auto"/>
          </w:divBdr>
          <w:divsChild>
            <w:div w:id="1042555011">
              <w:marLeft w:val="0"/>
              <w:marRight w:val="0"/>
              <w:marTop w:val="0"/>
              <w:marBottom w:val="0"/>
              <w:divBdr>
                <w:top w:val="none" w:sz="0" w:space="0" w:color="auto"/>
                <w:left w:val="none" w:sz="0" w:space="0" w:color="auto"/>
                <w:bottom w:val="none" w:sz="0" w:space="0" w:color="auto"/>
                <w:right w:val="none" w:sz="0" w:space="0" w:color="auto"/>
              </w:divBdr>
              <w:divsChild>
                <w:div w:id="2643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7584">
      <w:bodyDiv w:val="1"/>
      <w:marLeft w:val="0"/>
      <w:marRight w:val="0"/>
      <w:marTop w:val="0"/>
      <w:marBottom w:val="0"/>
      <w:divBdr>
        <w:top w:val="none" w:sz="0" w:space="0" w:color="auto"/>
        <w:left w:val="none" w:sz="0" w:space="0" w:color="auto"/>
        <w:bottom w:val="none" w:sz="0" w:space="0" w:color="auto"/>
        <w:right w:val="none" w:sz="0" w:space="0" w:color="auto"/>
      </w:divBdr>
    </w:div>
    <w:div w:id="1625842915">
      <w:bodyDiv w:val="1"/>
      <w:marLeft w:val="0"/>
      <w:marRight w:val="0"/>
      <w:marTop w:val="0"/>
      <w:marBottom w:val="0"/>
      <w:divBdr>
        <w:top w:val="none" w:sz="0" w:space="0" w:color="auto"/>
        <w:left w:val="none" w:sz="0" w:space="0" w:color="auto"/>
        <w:bottom w:val="none" w:sz="0" w:space="0" w:color="auto"/>
        <w:right w:val="none" w:sz="0" w:space="0" w:color="auto"/>
      </w:divBdr>
    </w:div>
    <w:div w:id="1626234643">
      <w:bodyDiv w:val="1"/>
      <w:marLeft w:val="0"/>
      <w:marRight w:val="0"/>
      <w:marTop w:val="0"/>
      <w:marBottom w:val="0"/>
      <w:divBdr>
        <w:top w:val="none" w:sz="0" w:space="0" w:color="auto"/>
        <w:left w:val="none" w:sz="0" w:space="0" w:color="auto"/>
        <w:bottom w:val="none" w:sz="0" w:space="0" w:color="auto"/>
        <w:right w:val="none" w:sz="0" w:space="0" w:color="auto"/>
      </w:divBdr>
    </w:div>
    <w:div w:id="1633438329">
      <w:bodyDiv w:val="1"/>
      <w:marLeft w:val="0"/>
      <w:marRight w:val="0"/>
      <w:marTop w:val="0"/>
      <w:marBottom w:val="0"/>
      <w:divBdr>
        <w:top w:val="none" w:sz="0" w:space="0" w:color="auto"/>
        <w:left w:val="none" w:sz="0" w:space="0" w:color="auto"/>
        <w:bottom w:val="none" w:sz="0" w:space="0" w:color="auto"/>
        <w:right w:val="none" w:sz="0" w:space="0" w:color="auto"/>
      </w:divBdr>
    </w:div>
    <w:div w:id="1677075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895">
          <w:marLeft w:val="0"/>
          <w:marRight w:val="0"/>
          <w:marTop w:val="0"/>
          <w:marBottom w:val="0"/>
          <w:divBdr>
            <w:top w:val="none" w:sz="0" w:space="0" w:color="auto"/>
            <w:left w:val="none" w:sz="0" w:space="0" w:color="auto"/>
            <w:bottom w:val="none" w:sz="0" w:space="0" w:color="auto"/>
            <w:right w:val="none" w:sz="0" w:space="0" w:color="auto"/>
          </w:divBdr>
          <w:divsChild>
            <w:div w:id="21640615">
              <w:marLeft w:val="0"/>
              <w:marRight w:val="0"/>
              <w:marTop w:val="0"/>
              <w:marBottom w:val="0"/>
              <w:divBdr>
                <w:top w:val="none" w:sz="0" w:space="0" w:color="auto"/>
                <w:left w:val="none" w:sz="0" w:space="0" w:color="auto"/>
                <w:bottom w:val="none" w:sz="0" w:space="0" w:color="auto"/>
                <w:right w:val="none" w:sz="0" w:space="0" w:color="auto"/>
              </w:divBdr>
              <w:divsChild>
                <w:div w:id="14227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0594">
      <w:bodyDiv w:val="1"/>
      <w:marLeft w:val="0"/>
      <w:marRight w:val="0"/>
      <w:marTop w:val="0"/>
      <w:marBottom w:val="0"/>
      <w:divBdr>
        <w:top w:val="none" w:sz="0" w:space="0" w:color="auto"/>
        <w:left w:val="none" w:sz="0" w:space="0" w:color="auto"/>
        <w:bottom w:val="none" w:sz="0" w:space="0" w:color="auto"/>
        <w:right w:val="none" w:sz="0" w:space="0" w:color="auto"/>
      </w:divBdr>
    </w:div>
    <w:div w:id="1737585267">
      <w:bodyDiv w:val="1"/>
      <w:marLeft w:val="0"/>
      <w:marRight w:val="0"/>
      <w:marTop w:val="0"/>
      <w:marBottom w:val="0"/>
      <w:divBdr>
        <w:top w:val="none" w:sz="0" w:space="0" w:color="auto"/>
        <w:left w:val="none" w:sz="0" w:space="0" w:color="auto"/>
        <w:bottom w:val="none" w:sz="0" w:space="0" w:color="auto"/>
        <w:right w:val="none" w:sz="0" w:space="0" w:color="auto"/>
      </w:divBdr>
    </w:div>
    <w:div w:id="1740011725">
      <w:bodyDiv w:val="1"/>
      <w:marLeft w:val="0"/>
      <w:marRight w:val="0"/>
      <w:marTop w:val="0"/>
      <w:marBottom w:val="0"/>
      <w:divBdr>
        <w:top w:val="none" w:sz="0" w:space="0" w:color="auto"/>
        <w:left w:val="none" w:sz="0" w:space="0" w:color="auto"/>
        <w:bottom w:val="none" w:sz="0" w:space="0" w:color="auto"/>
        <w:right w:val="none" w:sz="0" w:space="0" w:color="auto"/>
      </w:divBdr>
    </w:div>
    <w:div w:id="1821385177">
      <w:bodyDiv w:val="1"/>
      <w:marLeft w:val="0"/>
      <w:marRight w:val="0"/>
      <w:marTop w:val="0"/>
      <w:marBottom w:val="0"/>
      <w:divBdr>
        <w:top w:val="none" w:sz="0" w:space="0" w:color="auto"/>
        <w:left w:val="none" w:sz="0" w:space="0" w:color="auto"/>
        <w:bottom w:val="none" w:sz="0" w:space="0" w:color="auto"/>
        <w:right w:val="none" w:sz="0" w:space="0" w:color="auto"/>
      </w:divBdr>
    </w:div>
    <w:div w:id="1834561293">
      <w:bodyDiv w:val="1"/>
      <w:marLeft w:val="0"/>
      <w:marRight w:val="0"/>
      <w:marTop w:val="0"/>
      <w:marBottom w:val="0"/>
      <w:divBdr>
        <w:top w:val="none" w:sz="0" w:space="0" w:color="auto"/>
        <w:left w:val="none" w:sz="0" w:space="0" w:color="auto"/>
        <w:bottom w:val="none" w:sz="0" w:space="0" w:color="auto"/>
        <w:right w:val="none" w:sz="0" w:space="0" w:color="auto"/>
      </w:divBdr>
    </w:div>
    <w:div w:id="1871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2317</Words>
  <Characters>13671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Košáková</dc:creator>
  <cp:keywords/>
  <dc:description/>
  <cp:lastModifiedBy>Pěva Čouková</cp:lastModifiedBy>
  <cp:revision>9</cp:revision>
  <dcterms:created xsi:type="dcterms:W3CDTF">2019-05-23T13:36:00Z</dcterms:created>
  <dcterms:modified xsi:type="dcterms:W3CDTF">2020-01-04T21:07:00Z</dcterms:modified>
</cp:coreProperties>
</file>